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D9" w:rsidRPr="00E34114" w:rsidRDefault="00B74ABD" w:rsidP="00A24FD9">
      <w:pPr>
        <w:rPr>
          <w:rFonts w:cstheme="minorHAnsi"/>
          <w:b/>
          <w:sz w:val="32"/>
          <w:szCs w:val="32"/>
          <w:u w:val="single"/>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3600450</wp:posOffset>
            </wp:positionH>
            <wp:positionV relativeFrom="paragraph">
              <wp:posOffset>19050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ABD" w:rsidRDefault="00B74ABD" w:rsidP="00A24FD9">
      <w:pPr>
        <w:pStyle w:val="NoSpacing"/>
        <w:rPr>
          <w:rFonts w:cstheme="minorHAnsi"/>
          <w:b/>
          <w:sz w:val="32"/>
          <w:szCs w:val="32"/>
          <w:u w:val="single"/>
        </w:rPr>
      </w:pPr>
    </w:p>
    <w:p w:rsidR="00B74ABD" w:rsidRDefault="00B74ABD" w:rsidP="00A24FD9">
      <w:pPr>
        <w:pStyle w:val="NoSpacing"/>
        <w:rPr>
          <w:rFonts w:cstheme="minorHAnsi"/>
          <w:b/>
          <w:sz w:val="32"/>
          <w:szCs w:val="32"/>
          <w:u w:val="single"/>
        </w:rPr>
      </w:pPr>
    </w:p>
    <w:p w:rsidR="00A24FD9" w:rsidRPr="00E34114" w:rsidRDefault="002B407C" w:rsidP="00A24FD9">
      <w:pPr>
        <w:pStyle w:val="NoSpacing"/>
        <w:rPr>
          <w:rFonts w:cstheme="minorHAnsi"/>
          <w:b/>
          <w:sz w:val="32"/>
          <w:szCs w:val="32"/>
          <w:u w:val="single"/>
        </w:rPr>
      </w:pPr>
      <w:bookmarkStart w:id="0" w:name="_GoBack"/>
      <w:bookmarkEnd w:id="0"/>
      <w:r w:rsidRPr="00E34114">
        <w:rPr>
          <w:rFonts w:cstheme="minorHAnsi"/>
          <w:b/>
          <w:sz w:val="32"/>
          <w:szCs w:val="32"/>
          <w:u w:val="single"/>
        </w:rPr>
        <w:t xml:space="preserve">DIPLOMA </w:t>
      </w:r>
      <w:r w:rsidR="00F45F21" w:rsidRPr="00E34114">
        <w:rPr>
          <w:rFonts w:cstheme="minorHAnsi"/>
          <w:b/>
          <w:sz w:val="32"/>
          <w:szCs w:val="32"/>
          <w:u w:val="single"/>
        </w:rPr>
        <w:t>OF HOSP</w:t>
      </w:r>
      <w:r w:rsidR="00110F1C" w:rsidRPr="00E34114">
        <w:rPr>
          <w:rFonts w:cstheme="minorHAnsi"/>
          <w:b/>
          <w:sz w:val="32"/>
          <w:szCs w:val="32"/>
          <w:u w:val="single"/>
        </w:rPr>
        <w:t>I</w:t>
      </w:r>
      <w:r w:rsidR="00F45F21" w:rsidRPr="00E34114">
        <w:rPr>
          <w:rFonts w:cstheme="minorHAnsi"/>
          <w:b/>
          <w:sz w:val="32"/>
          <w:szCs w:val="32"/>
          <w:u w:val="single"/>
        </w:rPr>
        <w:t>TALITY MANAGEMENT</w:t>
      </w:r>
      <w:r w:rsidR="00A24FD9" w:rsidRPr="00E34114">
        <w:rPr>
          <w:rFonts w:cstheme="minorHAnsi"/>
          <w:b/>
          <w:sz w:val="32"/>
          <w:szCs w:val="32"/>
          <w:u w:val="single"/>
        </w:rPr>
        <w:t xml:space="preserve"> –</w:t>
      </w:r>
      <w:r w:rsidR="00A55E1C" w:rsidRPr="00E34114">
        <w:rPr>
          <w:rFonts w:cstheme="minorHAnsi"/>
          <w:b/>
          <w:sz w:val="32"/>
          <w:szCs w:val="32"/>
          <w:u w:val="single"/>
        </w:rPr>
        <w:t xml:space="preserve">EVENTS, </w:t>
      </w:r>
      <w:r w:rsidR="00A24FD9" w:rsidRPr="00E34114">
        <w:rPr>
          <w:rFonts w:cstheme="minorHAnsi"/>
          <w:b/>
          <w:sz w:val="32"/>
          <w:szCs w:val="32"/>
          <w:u w:val="single"/>
        </w:rPr>
        <w:t xml:space="preserve">    </w:t>
      </w:r>
    </w:p>
    <w:p w:rsidR="00A55E1C" w:rsidRPr="00E34114" w:rsidRDefault="00A55E1C" w:rsidP="00A24FD9">
      <w:pPr>
        <w:pStyle w:val="NoSpacing"/>
        <w:rPr>
          <w:rFonts w:cstheme="minorHAnsi"/>
          <w:b/>
          <w:sz w:val="32"/>
          <w:szCs w:val="32"/>
          <w:u w:val="single"/>
        </w:rPr>
      </w:pPr>
      <w:r w:rsidRPr="00E34114">
        <w:rPr>
          <w:rFonts w:cstheme="minorHAnsi"/>
          <w:b/>
          <w:sz w:val="32"/>
          <w:szCs w:val="32"/>
          <w:u w:val="single"/>
        </w:rPr>
        <w:t xml:space="preserve">FOOD &amp; BEVERAGE AND FRONT OFFICE </w:t>
      </w:r>
    </w:p>
    <w:p w:rsidR="00F45F21" w:rsidRPr="00E34114" w:rsidRDefault="00F45F21" w:rsidP="00A24FD9">
      <w:pPr>
        <w:pStyle w:val="NoSpacing"/>
        <w:rPr>
          <w:rFonts w:cstheme="minorHAnsi"/>
          <w:b/>
          <w:sz w:val="32"/>
          <w:szCs w:val="32"/>
          <w:u w:val="single"/>
        </w:rPr>
      </w:pPr>
      <w:r w:rsidRPr="00E34114">
        <w:rPr>
          <w:rFonts w:cstheme="minorHAnsi"/>
          <w:b/>
          <w:sz w:val="32"/>
          <w:szCs w:val="32"/>
          <w:u w:val="single"/>
        </w:rPr>
        <w:t xml:space="preserve">(LEVEL 5) </w:t>
      </w:r>
    </w:p>
    <w:p w:rsidR="000645D9" w:rsidRPr="00E34114" w:rsidRDefault="00277FC3" w:rsidP="00F45F21">
      <w:pPr>
        <w:widowControl w:val="0"/>
        <w:autoSpaceDE w:val="0"/>
        <w:autoSpaceDN w:val="0"/>
        <w:adjustRightInd w:val="0"/>
        <w:spacing w:after="0" w:line="240" w:lineRule="auto"/>
        <w:jc w:val="both"/>
        <w:rPr>
          <w:rFonts w:cstheme="minorHAnsi"/>
          <w:b/>
        </w:rPr>
      </w:pPr>
      <w:r w:rsidRPr="00E34114">
        <w:rPr>
          <w:rFonts w:cstheme="minorHAnsi"/>
          <w:b/>
        </w:rPr>
        <w:t>DESCRIPTION</w:t>
      </w:r>
    </w:p>
    <w:p w:rsidR="00F54E6F" w:rsidRPr="00E34114" w:rsidRDefault="007B1F57" w:rsidP="0060608F">
      <w:pPr>
        <w:pStyle w:val="NoSpacing"/>
        <w:jc w:val="both"/>
        <w:rPr>
          <w:rFonts w:cstheme="minorHAnsi"/>
        </w:rPr>
      </w:pPr>
      <w:r w:rsidRPr="00E34114">
        <w:rPr>
          <w:rFonts w:cstheme="minorHAnsi"/>
        </w:rPr>
        <w:t>This qualification reflects the role of highly skilled competent hospitality operations practitioner who uses a broad range of skills and sound knowledge of industry standards to coordinate and/or contribute strongly in an operational setting in Events</w:t>
      </w:r>
      <w:r w:rsidR="00C47ACD" w:rsidRPr="00E34114">
        <w:rPr>
          <w:rFonts w:cstheme="minorHAnsi"/>
        </w:rPr>
        <w:t>, Food and Beverage</w:t>
      </w:r>
      <w:r w:rsidRPr="00E34114">
        <w:rPr>
          <w:rFonts w:cstheme="minorHAnsi"/>
        </w:rPr>
        <w:t xml:space="preserve"> and Front Office.</w:t>
      </w:r>
    </w:p>
    <w:p w:rsidR="000645D9" w:rsidRPr="00E34114" w:rsidRDefault="007B1F57" w:rsidP="0060608F">
      <w:pPr>
        <w:pStyle w:val="NoSpacing"/>
        <w:jc w:val="both"/>
        <w:rPr>
          <w:rFonts w:cstheme="minorHAnsi"/>
        </w:rPr>
      </w:pPr>
      <w:r w:rsidRPr="00E34114">
        <w:rPr>
          <w:rFonts w:cstheme="minorHAnsi"/>
        </w:rPr>
        <w:t>The qualification prepares graduates to work independently, have responsibility for others</w:t>
      </w:r>
      <w:r w:rsidR="00C47ACD" w:rsidRPr="00E34114">
        <w:rPr>
          <w:rFonts w:cstheme="minorHAnsi"/>
        </w:rPr>
        <w:t xml:space="preserve"> and be involved in or make a range of operational business decisions.</w:t>
      </w:r>
    </w:p>
    <w:p w:rsidR="00E33247" w:rsidRPr="00E34114" w:rsidRDefault="00E33247" w:rsidP="0060608F">
      <w:pPr>
        <w:pStyle w:val="NoSpacing"/>
        <w:jc w:val="both"/>
        <w:rPr>
          <w:rFonts w:cstheme="minorHAnsi"/>
        </w:rPr>
      </w:pPr>
    </w:p>
    <w:p w:rsidR="0003709F" w:rsidRPr="00E34114" w:rsidRDefault="00230979" w:rsidP="0003709F">
      <w:pPr>
        <w:pStyle w:val="NoSpacing"/>
        <w:jc w:val="both"/>
        <w:rPr>
          <w:rFonts w:cstheme="minorHAnsi"/>
          <w:b/>
        </w:rPr>
      </w:pPr>
      <w:r w:rsidRPr="00E34114">
        <w:rPr>
          <w:rFonts w:cstheme="minorHAnsi"/>
          <w:b/>
        </w:rPr>
        <w:t xml:space="preserve">CAREER OPPORTUNITIES </w:t>
      </w:r>
    </w:p>
    <w:p w:rsidR="0003709F" w:rsidRPr="00E34114" w:rsidRDefault="0003709F" w:rsidP="0003709F">
      <w:pPr>
        <w:pStyle w:val="NoSpacing"/>
        <w:jc w:val="both"/>
        <w:rPr>
          <w:rFonts w:cstheme="minorHAnsi"/>
          <w:b/>
        </w:rPr>
      </w:pPr>
      <w:r w:rsidRPr="00E34114">
        <w:rPr>
          <w:rFonts w:cstheme="minorHAnsi"/>
        </w:rPr>
        <w:t xml:space="preserve"> This qualification provides a pathway for employment in</w:t>
      </w:r>
      <w:r w:rsidR="00F32D92" w:rsidRPr="00E34114">
        <w:rPr>
          <w:rFonts w:cstheme="minorHAnsi"/>
        </w:rPr>
        <w:t>:</w:t>
      </w:r>
      <w:r w:rsidRPr="00E34114">
        <w:rPr>
          <w:rFonts w:cstheme="minorHAnsi"/>
        </w:rPr>
        <w:t xml:space="preserve"> </w:t>
      </w:r>
    </w:p>
    <w:p w:rsidR="00D7680C" w:rsidRPr="00E34114" w:rsidRDefault="0003709F" w:rsidP="00D7680C">
      <w:pPr>
        <w:pStyle w:val="Default"/>
        <w:ind w:firstLine="720"/>
        <w:rPr>
          <w:rFonts w:asciiTheme="minorHAnsi" w:hAnsiTheme="minorHAnsi" w:cstheme="minorHAnsi"/>
          <w:sz w:val="22"/>
          <w:szCs w:val="22"/>
        </w:rPr>
      </w:pPr>
      <w:r w:rsidRPr="00E34114">
        <w:rPr>
          <w:rFonts w:asciiTheme="minorHAnsi" w:hAnsiTheme="minorHAnsi" w:cstheme="minorHAnsi"/>
          <w:sz w:val="22"/>
          <w:szCs w:val="22"/>
        </w:rPr>
        <w:t>• Food &amp; Beve</w:t>
      </w:r>
      <w:r w:rsidR="00F32D92" w:rsidRPr="00E34114">
        <w:rPr>
          <w:rFonts w:asciiTheme="minorHAnsi" w:hAnsiTheme="minorHAnsi" w:cstheme="minorHAnsi"/>
          <w:sz w:val="22"/>
          <w:szCs w:val="22"/>
        </w:rPr>
        <w:t>rage Service</w:t>
      </w:r>
      <w:r w:rsidRPr="00E34114">
        <w:rPr>
          <w:rFonts w:asciiTheme="minorHAnsi" w:hAnsiTheme="minorHAnsi" w:cstheme="minorHAnsi"/>
          <w:sz w:val="22"/>
          <w:szCs w:val="22"/>
        </w:rPr>
        <w:t xml:space="preserve"> </w:t>
      </w:r>
    </w:p>
    <w:p w:rsidR="00D7680C" w:rsidRPr="00E34114" w:rsidRDefault="00F32D92" w:rsidP="0003709F">
      <w:pPr>
        <w:pStyle w:val="Default"/>
        <w:ind w:firstLine="720"/>
        <w:rPr>
          <w:rFonts w:asciiTheme="minorHAnsi" w:hAnsiTheme="minorHAnsi" w:cstheme="minorHAnsi"/>
          <w:sz w:val="22"/>
          <w:szCs w:val="22"/>
        </w:rPr>
      </w:pPr>
      <w:r w:rsidRPr="00E34114">
        <w:rPr>
          <w:rFonts w:asciiTheme="minorHAnsi" w:hAnsiTheme="minorHAnsi" w:cstheme="minorHAnsi"/>
          <w:sz w:val="22"/>
          <w:szCs w:val="22"/>
        </w:rPr>
        <w:t xml:space="preserve">• </w:t>
      </w:r>
      <w:r w:rsidR="00342FD6" w:rsidRPr="00E34114">
        <w:rPr>
          <w:rFonts w:asciiTheme="minorHAnsi" w:hAnsiTheme="minorHAnsi" w:cstheme="minorHAnsi"/>
          <w:sz w:val="22"/>
          <w:szCs w:val="22"/>
        </w:rPr>
        <w:t>Hospitality Operations</w:t>
      </w:r>
      <w:r w:rsidR="001271B1" w:rsidRPr="00E34114">
        <w:rPr>
          <w:rFonts w:asciiTheme="minorHAnsi" w:hAnsiTheme="minorHAnsi" w:cstheme="minorHAnsi"/>
          <w:sz w:val="22"/>
          <w:szCs w:val="22"/>
        </w:rPr>
        <w:t xml:space="preserve"> and Marketing</w:t>
      </w:r>
    </w:p>
    <w:p w:rsidR="0003709F" w:rsidRPr="00E34114" w:rsidRDefault="0003709F" w:rsidP="00D7680C">
      <w:pPr>
        <w:pStyle w:val="Default"/>
        <w:numPr>
          <w:ilvl w:val="0"/>
          <w:numId w:val="23"/>
        </w:numPr>
        <w:ind w:left="900" w:hanging="180"/>
        <w:rPr>
          <w:rFonts w:asciiTheme="minorHAnsi" w:hAnsiTheme="minorHAnsi" w:cstheme="minorHAnsi"/>
          <w:sz w:val="22"/>
          <w:szCs w:val="22"/>
        </w:rPr>
      </w:pPr>
      <w:r w:rsidRPr="00E34114">
        <w:rPr>
          <w:rFonts w:asciiTheme="minorHAnsi" w:hAnsiTheme="minorHAnsi" w:cstheme="minorHAnsi"/>
          <w:sz w:val="22"/>
          <w:szCs w:val="22"/>
        </w:rPr>
        <w:t xml:space="preserve">Events </w:t>
      </w:r>
      <w:r w:rsidR="00D7680C" w:rsidRPr="00E34114">
        <w:rPr>
          <w:rFonts w:asciiTheme="minorHAnsi" w:hAnsiTheme="minorHAnsi" w:cstheme="minorHAnsi"/>
          <w:sz w:val="22"/>
          <w:szCs w:val="22"/>
        </w:rPr>
        <w:t>Management</w:t>
      </w:r>
    </w:p>
    <w:p w:rsidR="00D7680C" w:rsidRPr="00E34114" w:rsidRDefault="00F32D92" w:rsidP="00D7680C">
      <w:pPr>
        <w:pStyle w:val="Default"/>
        <w:numPr>
          <w:ilvl w:val="0"/>
          <w:numId w:val="23"/>
        </w:numPr>
        <w:ind w:left="900" w:hanging="180"/>
        <w:rPr>
          <w:rFonts w:asciiTheme="minorHAnsi" w:hAnsiTheme="minorHAnsi" w:cstheme="minorHAnsi"/>
          <w:sz w:val="22"/>
          <w:szCs w:val="22"/>
        </w:rPr>
      </w:pPr>
      <w:r w:rsidRPr="00E34114">
        <w:rPr>
          <w:rFonts w:asciiTheme="minorHAnsi" w:hAnsiTheme="minorHAnsi" w:cstheme="minorHAnsi"/>
          <w:sz w:val="22"/>
          <w:szCs w:val="22"/>
        </w:rPr>
        <w:t>Front Office</w:t>
      </w:r>
    </w:p>
    <w:p w:rsidR="001271B1" w:rsidRPr="00E34114" w:rsidRDefault="001271B1" w:rsidP="00D7680C">
      <w:pPr>
        <w:pStyle w:val="Default"/>
        <w:numPr>
          <w:ilvl w:val="0"/>
          <w:numId w:val="23"/>
        </w:numPr>
        <w:ind w:left="900" w:hanging="180"/>
        <w:rPr>
          <w:rFonts w:asciiTheme="minorHAnsi" w:hAnsiTheme="minorHAnsi" w:cstheme="minorHAnsi"/>
          <w:sz w:val="22"/>
          <w:szCs w:val="22"/>
        </w:rPr>
      </w:pPr>
      <w:r w:rsidRPr="00E34114">
        <w:rPr>
          <w:rFonts w:asciiTheme="minorHAnsi" w:hAnsiTheme="minorHAnsi" w:cstheme="minorHAnsi"/>
          <w:sz w:val="22"/>
          <w:szCs w:val="22"/>
        </w:rPr>
        <w:t>Night Audits</w:t>
      </w:r>
    </w:p>
    <w:p w:rsidR="00D7680C" w:rsidRPr="00E34114" w:rsidRDefault="00D7680C" w:rsidP="00D7680C">
      <w:pPr>
        <w:pStyle w:val="Default"/>
        <w:numPr>
          <w:ilvl w:val="0"/>
          <w:numId w:val="23"/>
        </w:numPr>
        <w:ind w:left="900" w:hanging="180"/>
        <w:rPr>
          <w:rFonts w:asciiTheme="minorHAnsi" w:hAnsiTheme="minorHAnsi" w:cstheme="minorHAnsi"/>
          <w:sz w:val="22"/>
          <w:szCs w:val="22"/>
        </w:rPr>
      </w:pPr>
      <w:r w:rsidRPr="00E34114">
        <w:rPr>
          <w:rFonts w:asciiTheme="minorHAnsi" w:hAnsiTheme="minorHAnsi" w:cstheme="minorHAnsi"/>
          <w:sz w:val="22"/>
          <w:szCs w:val="22"/>
        </w:rPr>
        <w:t>Service Marketing and Management</w:t>
      </w:r>
    </w:p>
    <w:p w:rsidR="0003709F" w:rsidRPr="00E34114" w:rsidRDefault="0003709F" w:rsidP="0003709F">
      <w:pPr>
        <w:pStyle w:val="Default"/>
        <w:rPr>
          <w:rFonts w:asciiTheme="minorHAnsi" w:hAnsiTheme="minorHAnsi" w:cstheme="minorHAnsi"/>
          <w:sz w:val="22"/>
          <w:szCs w:val="22"/>
        </w:rPr>
      </w:pPr>
    </w:p>
    <w:p w:rsidR="00277FC3" w:rsidRPr="00E34114" w:rsidRDefault="0003709F" w:rsidP="0003709F">
      <w:pPr>
        <w:widowControl w:val="0"/>
        <w:autoSpaceDE w:val="0"/>
        <w:autoSpaceDN w:val="0"/>
        <w:adjustRightInd w:val="0"/>
        <w:spacing w:after="0" w:line="240" w:lineRule="auto"/>
        <w:jc w:val="both"/>
        <w:rPr>
          <w:rFonts w:cstheme="minorHAnsi"/>
          <w:b/>
          <w:color w:val="000000"/>
        </w:rPr>
      </w:pPr>
      <w:r w:rsidRPr="00E34114">
        <w:rPr>
          <w:rFonts w:cstheme="minorHAnsi"/>
          <w:b/>
          <w:color w:val="000000"/>
        </w:rPr>
        <w:t xml:space="preserve"> </w:t>
      </w:r>
      <w:r w:rsidR="007A6FF3" w:rsidRPr="00E34114">
        <w:rPr>
          <w:rFonts w:cstheme="minorHAnsi"/>
          <w:b/>
          <w:color w:val="000000"/>
        </w:rPr>
        <w:t>LENGTH OF PROGRAMME</w:t>
      </w:r>
    </w:p>
    <w:tbl>
      <w:tblPr>
        <w:tblStyle w:val="TableGrid"/>
        <w:tblW w:w="0" w:type="auto"/>
        <w:tblInd w:w="198" w:type="dxa"/>
        <w:tblLook w:val="04A0" w:firstRow="1" w:lastRow="0" w:firstColumn="1" w:lastColumn="0" w:noHBand="0" w:noVBand="1"/>
      </w:tblPr>
      <w:tblGrid>
        <w:gridCol w:w="2070"/>
        <w:gridCol w:w="6840"/>
      </w:tblGrid>
      <w:tr w:rsidR="007A6FF3" w:rsidRPr="00E34114" w:rsidTr="008A69DD">
        <w:tc>
          <w:tcPr>
            <w:tcW w:w="2070" w:type="dxa"/>
          </w:tcPr>
          <w:p w:rsidR="007A6FF3" w:rsidRPr="00E34114" w:rsidRDefault="007A6FF3" w:rsidP="0060608F">
            <w:pPr>
              <w:jc w:val="both"/>
              <w:rPr>
                <w:rFonts w:cstheme="minorHAnsi"/>
              </w:rPr>
            </w:pPr>
            <w:r w:rsidRPr="00E34114">
              <w:rPr>
                <w:rFonts w:cstheme="minorHAnsi"/>
              </w:rPr>
              <w:t>Full Time</w:t>
            </w:r>
          </w:p>
        </w:tc>
        <w:tc>
          <w:tcPr>
            <w:tcW w:w="6840" w:type="dxa"/>
          </w:tcPr>
          <w:p w:rsidR="007A6FF3" w:rsidRPr="00E34114" w:rsidRDefault="00F45F21" w:rsidP="0060608F">
            <w:pPr>
              <w:jc w:val="both"/>
              <w:rPr>
                <w:rFonts w:cstheme="minorHAnsi"/>
              </w:rPr>
            </w:pPr>
            <w:r w:rsidRPr="00E34114">
              <w:rPr>
                <w:rFonts w:cstheme="minorHAnsi"/>
              </w:rPr>
              <w:t>1 and half years (including embedded Certificate IV)</w:t>
            </w:r>
          </w:p>
        </w:tc>
      </w:tr>
      <w:tr w:rsidR="00B35A45" w:rsidRPr="00E34114" w:rsidTr="008A69DD">
        <w:tc>
          <w:tcPr>
            <w:tcW w:w="2070" w:type="dxa"/>
          </w:tcPr>
          <w:p w:rsidR="00B35A45" w:rsidRPr="00E34114" w:rsidRDefault="00B35A45" w:rsidP="0060608F">
            <w:pPr>
              <w:jc w:val="both"/>
              <w:rPr>
                <w:rFonts w:cstheme="minorHAnsi"/>
              </w:rPr>
            </w:pPr>
            <w:r w:rsidRPr="00E34114">
              <w:rPr>
                <w:rFonts w:cstheme="minorHAnsi"/>
              </w:rPr>
              <w:t>Part Time</w:t>
            </w:r>
          </w:p>
        </w:tc>
        <w:tc>
          <w:tcPr>
            <w:tcW w:w="6840" w:type="dxa"/>
          </w:tcPr>
          <w:p w:rsidR="00B35A45" w:rsidRPr="00E34114" w:rsidRDefault="00E03A01" w:rsidP="00F45F21">
            <w:pPr>
              <w:jc w:val="both"/>
              <w:rPr>
                <w:rFonts w:cstheme="minorHAnsi"/>
              </w:rPr>
            </w:pPr>
            <w:r w:rsidRPr="00E34114">
              <w:rPr>
                <w:rFonts w:cstheme="minorHAnsi"/>
              </w:rPr>
              <w:t>2 years</w:t>
            </w:r>
          </w:p>
        </w:tc>
      </w:tr>
    </w:tbl>
    <w:p w:rsidR="007A6FF3" w:rsidRPr="00E34114" w:rsidRDefault="007A6FF3" w:rsidP="0060608F">
      <w:pPr>
        <w:widowControl w:val="0"/>
        <w:autoSpaceDE w:val="0"/>
        <w:autoSpaceDN w:val="0"/>
        <w:adjustRightInd w:val="0"/>
        <w:spacing w:after="0" w:line="240" w:lineRule="auto"/>
        <w:jc w:val="both"/>
        <w:rPr>
          <w:rFonts w:cstheme="minorHAnsi"/>
          <w:b/>
        </w:rPr>
      </w:pPr>
    </w:p>
    <w:p w:rsidR="001A4BB5" w:rsidRPr="00E34114" w:rsidRDefault="00857E2A" w:rsidP="005E35DC">
      <w:pPr>
        <w:widowControl w:val="0"/>
        <w:autoSpaceDE w:val="0"/>
        <w:autoSpaceDN w:val="0"/>
        <w:adjustRightInd w:val="0"/>
        <w:spacing w:after="0" w:line="240" w:lineRule="auto"/>
        <w:rPr>
          <w:rFonts w:cstheme="minorHAnsi"/>
          <w:sz w:val="24"/>
          <w:szCs w:val="24"/>
        </w:rPr>
      </w:pPr>
      <w:r w:rsidRPr="00E34114">
        <w:rPr>
          <w:rFonts w:cstheme="minorHAnsi"/>
          <w:b/>
        </w:rPr>
        <w:t>ELIGIBILITY/</w:t>
      </w:r>
      <w:r w:rsidR="000B48FC" w:rsidRPr="00E34114">
        <w:rPr>
          <w:rFonts w:cstheme="minorHAnsi"/>
          <w:b/>
        </w:rPr>
        <w:t>ADMISSION</w:t>
      </w:r>
      <w:r w:rsidRPr="00E34114">
        <w:rPr>
          <w:rFonts w:cstheme="minorHAnsi"/>
          <w:b/>
        </w:rPr>
        <w:t xml:space="preserve"> REQUIREMENTS</w:t>
      </w:r>
      <w:r w:rsidR="0003709F" w:rsidRPr="00E34114">
        <w:rPr>
          <w:rFonts w:cstheme="minorHAnsi"/>
          <w:b/>
        </w:rPr>
        <w:t xml:space="preserve"> </w:t>
      </w:r>
    </w:p>
    <w:p w:rsidR="00715D68" w:rsidRPr="00E34114" w:rsidRDefault="00715D68" w:rsidP="005E35DC">
      <w:pPr>
        <w:widowControl w:val="0"/>
        <w:autoSpaceDE w:val="0"/>
        <w:autoSpaceDN w:val="0"/>
        <w:adjustRightInd w:val="0"/>
        <w:spacing w:after="0" w:line="240" w:lineRule="auto"/>
        <w:rPr>
          <w:rFonts w:cstheme="minorHAnsi"/>
        </w:rPr>
      </w:pPr>
      <w:r w:rsidRPr="00E34114">
        <w:rPr>
          <w:rFonts w:cstheme="minorHAnsi"/>
        </w:rPr>
        <w:t>To be admitted to this programme, a person:</w:t>
      </w:r>
    </w:p>
    <w:p w:rsidR="001A4BB5" w:rsidRPr="00E34114" w:rsidRDefault="00B81386" w:rsidP="00B81386">
      <w:pPr>
        <w:spacing w:after="0" w:line="240" w:lineRule="auto"/>
        <w:rPr>
          <w:rFonts w:eastAsia="Times New Roman" w:cstheme="minorHAnsi"/>
        </w:rPr>
      </w:pPr>
      <w:r w:rsidRPr="00E34114">
        <w:rPr>
          <w:rFonts w:eastAsia="Times New Roman" w:cstheme="minorHAnsi"/>
        </w:rPr>
        <w:t>With a current Medical Certificate</w:t>
      </w:r>
      <w:r w:rsidR="00F45F21" w:rsidRPr="00E34114">
        <w:rPr>
          <w:rFonts w:eastAsia="Times New Roman" w:cstheme="minorHAnsi"/>
        </w:rPr>
        <w:t>, and</w:t>
      </w:r>
      <w:r w:rsidR="00110F1C" w:rsidRPr="00E34114">
        <w:rPr>
          <w:rFonts w:eastAsia="Times New Roman" w:cstheme="minorHAnsi"/>
        </w:rPr>
        <w:t>;</w:t>
      </w:r>
    </w:p>
    <w:p w:rsidR="001A4BB5" w:rsidRPr="00E34114" w:rsidRDefault="00B81386" w:rsidP="00B81386">
      <w:pPr>
        <w:pStyle w:val="ListParagraph"/>
        <w:numPr>
          <w:ilvl w:val="0"/>
          <w:numId w:val="22"/>
        </w:numPr>
        <w:tabs>
          <w:tab w:val="left" w:pos="270"/>
        </w:tabs>
        <w:ind w:left="720"/>
        <w:rPr>
          <w:rFonts w:asciiTheme="minorHAnsi" w:hAnsiTheme="minorHAnsi" w:cstheme="minorHAnsi"/>
          <w:sz w:val="22"/>
          <w:szCs w:val="22"/>
        </w:rPr>
      </w:pPr>
      <w:r w:rsidRPr="00E34114">
        <w:rPr>
          <w:rFonts w:asciiTheme="minorHAnsi" w:hAnsiTheme="minorHAnsi" w:cstheme="minorHAnsi"/>
          <w:sz w:val="22"/>
          <w:szCs w:val="22"/>
        </w:rPr>
        <w:t xml:space="preserve">Pass in Senate </w:t>
      </w:r>
      <w:proofErr w:type="spellStart"/>
      <w:r w:rsidRPr="00E34114">
        <w:rPr>
          <w:rFonts w:asciiTheme="minorHAnsi" w:hAnsiTheme="minorHAnsi" w:cstheme="minorHAnsi"/>
          <w:sz w:val="22"/>
          <w:szCs w:val="22"/>
        </w:rPr>
        <w:t>recognised</w:t>
      </w:r>
      <w:proofErr w:type="spellEnd"/>
      <w:r w:rsidRPr="00E34114">
        <w:rPr>
          <w:rFonts w:asciiTheme="minorHAnsi" w:hAnsiTheme="minorHAnsi" w:cstheme="minorHAnsi"/>
          <w:sz w:val="22"/>
          <w:szCs w:val="22"/>
        </w:rPr>
        <w:t xml:space="preserve"> Year 12/Form 6 or equivalent with English; </w:t>
      </w:r>
      <w:r w:rsidR="00B35A45" w:rsidRPr="00E34114">
        <w:rPr>
          <w:rFonts w:asciiTheme="minorHAnsi" w:hAnsiTheme="minorHAnsi" w:cstheme="minorHAnsi"/>
          <w:sz w:val="22"/>
          <w:szCs w:val="22"/>
        </w:rPr>
        <w:t>or</w:t>
      </w:r>
    </w:p>
    <w:p w:rsidR="00B81386" w:rsidRPr="00E34114" w:rsidRDefault="00CD2C85" w:rsidP="00B81386">
      <w:pPr>
        <w:pStyle w:val="ListParagraph"/>
        <w:numPr>
          <w:ilvl w:val="0"/>
          <w:numId w:val="22"/>
        </w:numPr>
        <w:tabs>
          <w:tab w:val="left" w:pos="720"/>
        </w:tabs>
        <w:ind w:left="360" w:hanging="360"/>
        <w:rPr>
          <w:rFonts w:asciiTheme="minorHAnsi" w:hAnsiTheme="minorHAnsi" w:cstheme="minorHAnsi"/>
          <w:sz w:val="22"/>
          <w:szCs w:val="22"/>
        </w:rPr>
      </w:pPr>
      <w:r w:rsidRPr="00E34114">
        <w:rPr>
          <w:rFonts w:asciiTheme="minorHAnsi" w:hAnsiTheme="minorHAnsi" w:cstheme="minorHAnsi"/>
          <w:sz w:val="22"/>
          <w:szCs w:val="22"/>
        </w:rPr>
        <w:t xml:space="preserve">Pass in a nationally </w:t>
      </w:r>
      <w:proofErr w:type="spellStart"/>
      <w:r w:rsidRPr="00E34114">
        <w:rPr>
          <w:rFonts w:asciiTheme="minorHAnsi" w:hAnsiTheme="minorHAnsi" w:cstheme="minorHAnsi"/>
          <w:sz w:val="22"/>
          <w:szCs w:val="22"/>
        </w:rPr>
        <w:t>recognis</w:t>
      </w:r>
      <w:r w:rsidR="00B81386" w:rsidRPr="00E34114">
        <w:rPr>
          <w:rFonts w:asciiTheme="minorHAnsi" w:hAnsiTheme="minorHAnsi" w:cstheme="minorHAnsi"/>
          <w:sz w:val="22"/>
          <w:szCs w:val="22"/>
        </w:rPr>
        <w:t>ed</w:t>
      </w:r>
      <w:proofErr w:type="spellEnd"/>
      <w:r w:rsidR="00B81386" w:rsidRPr="00E34114">
        <w:rPr>
          <w:rFonts w:asciiTheme="minorHAnsi" w:hAnsiTheme="minorHAnsi" w:cstheme="minorHAnsi"/>
          <w:sz w:val="22"/>
          <w:szCs w:val="22"/>
        </w:rPr>
        <w:t xml:space="preserve"> Certificate level IV qualificati</w:t>
      </w:r>
      <w:r w:rsidR="00BA5849" w:rsidRPr="00E34114">
        <w:rPr>
          <w:rFonts w:asciiTheme="minorHAnsi" w:hAnsiTheme="minorHAnsi" w:cstheme="minorHAnsi"/>
          <w:sz w:val="22"/>
          <w:szCs w:val="22"/>
        </w:rPr>
        <w:t xml:space="preserve">on or equivalent from a </w:t>
      </w:r>
      <w:proofErr w:type="spellStart"/>
      <w:r w:rsidR="00BA5849" w:rsidRPr="00E34114">
        <w:rPr>
          <w:rFonts w:asciiTheme="minorHAnsi" w:hAnsiTheme="minorHAnsi" w:cstheme="minorHAnsi"/>
          <w:sz w:val="22"/>
          <w:szCs w:val="22"/>
        </w:rPr>
        <w:t>recogni</w:t>
      </w:r>
      <w:r w:rsidR="00C34916" w:rsidRPr="00E34114">
        <w:rPr>
          <w:rFonts w:asciiTheme="minorHAnsi" w:hAnsiTheme="minorHAnsi" w:cstheme="minorHAnsi"/>
          <w:sz w:val="22"/>
          <w:szCs w:val="22"/>
        </w:rPr>
        <w:t>s</w:t>
      </w:r>
      <w:r w:rsidR="00B81386" w:rsidRPr="00E34114">
        <w:rPr>
          <w:rFonts w:asciiTheme="minorHAnsi" w:hAnsiTheme="minorHAnsi" w:cstheme="minorHAnsi"/>
          <w:sz w:val="22"/>
          <w:szCs w:val="22"/>
        </w:rPr>
        <w:t>ed</w:t>
      </w:r>
      <w:proofErr w:type="spellEnd"/>
      <w:r w:rsidR="00B81386" w:rsidRPr="00E34114">
        <w:rPr>
          <w:rFonts w:asciiTheme="minorHAnsi" w:hAnsiTheme="minorHAnsi" w:cstheme="minorHAnsi"/>
          <w:sz w:val="22"/>
          <w:szCs w:val="22"/>
        </w:rPr>
        <w:t xml:space="preserve"> provider;</w:t>
      </w:r>
      <w:r w:rsidR="00BA5849" w:rsidRPr="00E34114">
        <w:rPr>
          <w:rFonts w:asciiTheme="minorHAnsi" w:hAnsiTheme="minorHAnsi" w:cstheme="minorHAnsi"/>
          <w:sz w:val="22"/>
          <w:szCs w:val="22"/>
        </w:rPr>
        <w:t xml:space="preserve"> </w:t>
      </w:r>
      <w:r w:rsidR="00165694" w:rsidRPr="00E34114">
        <w:rPr>
          <w:rFonts w:asciiTheme="minorHAnsi" w:hAnsiTheme="minorHAnsi" w:cstheme="minorHAnsi"/>
          <w:sz w:val="22"/>
          <w:szCs w:val="22"/>
        </w:rPr>
        <w:t>or</w:t>
      </w:r>
    </w:p>
    <w:p w:rsidR="00B81386" w:rsidRPr="00E34114" w:rsidRDefault="00B81386" w:rsidP="00B81386">
      <w:pPr>
        <w:pStyle w:val="ListParagraph"/>
        <w:numPr>
          <w:ilvl w:val="0"/>
          <w:numId w:val="22"/>
        </w:numPr>
        <w:tabs>
          <w:tab w:val="left" w:pos="720"/>
        </w:tabs>
        <w:ind w:left="360" w:hanging="360"/>
        <w:rPr>
          <w:rFonts w:asciiTheme="minorHAnsi" w:hAnsiTheme="minorHAnsi" w:cstheme="minorHAnsi"/>
          <w:sz w:val="22"/>
          <w:szCs w:val="22"/>
        </w:rPr>
      </w:pPr>
      <w:r w:rsidRPr="00E34114">
        <w:rPr>
          <w:rFonts w:asciiTheme="minorHAnsi" w:hAnsiTheme="minorHAnsi" w:cstheme="minorHAnsi"/>
          <w:sz w:val="22"/>
          <w:szCs w:val="22"/>
        </w:rPr>
        <w:t>Recommendation and confirmation of work experience and sponsorship of studies by employer;</w:t>
      </w:r>
      <w:r w:rsidR="00BA5849" w:rsidRPr="00E34114">
        <w:rPr>
          <w:rFonts w:asciiTheme="minorHAnsi" w:hAnsiTheme="minorHAnsi" w:cstheme="minorHAnsi"/>
          <w:sz w:val="22"/>
          <w:szCs w:val="22"/>
        </w:rPr>
        <w:t xml:space="preserve"> </w:t>
      </w:r>
      <w:r w:rsidR="00165694" w:rsidRPr="00E34114">
        <w:rPr>
          <w:rFonts w:asciiTheme="minorHAnsi" w:hAnsiTheme="minorHAnsi" w:cstheme="minorHAnsi"/>
          <w:sz w:val="22"/>
          <w:szCs w:val="22"/>
        </w:rPr>
        <w:t>or</w:t>
      </w:r>
    </w:p>
    <w:p w:rsidR="001A4BB5" w:rsidRPr="00E34114" w:rsidRDefault="00B81386" w:rsidP="007F748E">
      <w:pPr>
        <w:pStyle w:val="ListParagraph"/>
        <w:numPr>
          <w:ilvl w:val="0"/>
          <w:numId w:val="22"/>
        </w:numPr>
        <w:tabs>
          <w:tab w:val="left" w:pos="720"/>
        </w:tabs>
        <w:ind w:left="360" w:hanging="360"/>
        <w:rPr>
          <w:rFonts w:asciiTheme="minorHAnsi" w:hAnsiTheme="minorHAnsi" w:cstheme="minorHAnsi"/>
          <w:sz w:val="22"/>
          <w:szCs w:val="22"/>
        </w:rPr>
      </w:pPr>
      <w:r w:rsidRPr="00E34114">
        <w:rPr>
          <w:rFonts w:asciiTheme="minorHAnsi" w:hAnsiTheme="minorHAnsi" w:cstheme="minorHAnsi"/>
          <w:sz w:val="22"/>
          <w:szCs w:val="22"/>
        </w:rPr>
        <w:t>Met the University mature student admission criteria.</w:t>
      </w:r>
    </w:p>
    <w:p w:rsidR="007F748E" w:rsidRPr="00FB2D27" w:rsidRDefault="007F748E" w:rsidP="007F748E">
      <w:pPr>
        <w:pStyle w:val="ListParagraph"/>
        <w:tabs>
          <w:tab w:val="left" w:pos="720"/>
        </w:tabs>
        <w:ind w:left="360"/>
        <w:rPr>
          <w:rFonts w:asciiTheme="minorHAnsi" w:hAnsiTheme="minorHAnsi" w:cstheme="minorHAnsi"/>
          <w:sz w:val="16"/>
          <w:szCs w:val="16"/>
        </w:rPr>
      </w:pPr>
    </w:p>
    <w:p w:rsidR="00857E2A" w:rsidRPr="00E34114" w:rsidRDefault="00857E2A" w:rsidP="0060608F">
      <w:pPr>
        <w:pStyle w:val="NoSpacing"/>
        <w:jc w:val="both"/>
        <w:rPr>
          <w:rFonts w:cstheme="minorHAnsi"/>
          <w:b/>
        </w:rPr>
      </w:pPr>
      <w:r w:rsidRPr="00E34114">
        <w:rPr>
          <w:rFonts w:cstheme="minorHAnsi"/>
          <w:b/>
        </w:rPr>
        <w:t>COURSE INFORMATION</w:t>
      </w:r>
    </w:p>
    <w:p w:rsidR="00841314" w:rsidRPr="00E34114" w:rsidRDefault="00230979" w:rsidP="0060608F">
      <w:pPr>
        <w:pStyle w:val="NoSpacing"/>
        <w:jc w:val="both"/>
        <w:rPr>
          <w:rFonts w:cstheme="minorHAnsi"/>
        </w:rPr>
      </w:pPr>
      <w:r w:rsidRPr="00E34114">
        <w:rPr>
          <w:rFonts w:cstheme="minorHAnsi"/>
        </w:rPr>
        <w:t xml:space="preserve">This programme has a total of </w:t>
      </w:r>
      <w:r w:rsidR="00AD5880">
        <w:rPr>
          <w:rFonts w:cstheme="minorHAnsi"/>
        </w:rPr>
        <w:t>eleven</w:t>
      </w:r>
      <w:r w:rsidR="003F61B3" w:rsidRPr="00E34114">
        <w:rPr>
          <w:rFonts w:cstheme="minorHAnsi"/>
        </w:rPr>
        <w:t xml:space="preserve"> </w:t>
      </w:r>
      <w:r w:rsidR="00B81386" w:rsidRPr="00E34114">
        <w:rPr>
          <w:rFonts w:cstheme="minorHAnsi"/>
        </w:rPr>
        <w:t>(</w:t>
      </w:r>
      <w:r w:rsidR="00AD5880">
        <w:rPr>
          <w:rFonts w:cstheme="minorHAnsi"/>
        </w:rPr>
        <w:t>11</w:t>
      </w:r>
      <w:r w:rsidR="00A94534" w:rsidRPr="00E34114">
        <w:rPr>
          <w:rFonts w:cstheme="minorHAnsi"/>
        </w:rPr>
        <w:t>)</w:t>
      </w:r>
      <w:r w:rsidRPr="00E34114">
        <w:rPr>
          <w:rFonts w:cstheme="minorHAnsi"/>
        </w:rPr>
        <w:t xml:space="preserve"> courses.</w:t>
      </w:r>
    </w:p>
    <w:tbl>
      <w:tblPr>
        <w:tblStyle w:val="TableGrid"/>
        <w:tblW w:w="8910" w:type="dxa"/>
        <w:tblInd w:w="198" w:type="dxa"/>
        <w:tblLayout w:type="fixed"/>
        <w:tblLook w:val="04A0" w:firstRow="1" w:lastRow="0" w:firstColumn="1" w:lastColumn="0" w:noHBand="0" w:noVBand="1"/>
      </w:tblPr>
      <w:tblGrid>
        <w:gridCol w:w="990"/>
        <w:gridCol w:w="3217"/>
        <w:gridCol w:w="1080"/>
        <w:gridCol w:w="1350"/>
        <w:gridCol w:w="1440"/>
        <w:gridCol w:w="833"/>
      </w:tblGrid>
      <w:tr w:rsidR="00841314" w:rsidRPr="00E34114" w:rsidTr="00AA7396">
        <w:tc>
          <w:tcPr>
            <w:tcW w:w="990" w:type="dxa"/>
            <w:shd w:val="clear" w:color="auto" w:fill="D9D9D9" w:themeFill="background1" w:themeFillShade="D9"/>
          </w:tcPr>
          <w:p w:rsidR="00841314" w:rsidRPr="00E34114" w:rsidRDefault="00841314" w:rsidP="00DC52CF">
            <w:pPr>
              <w:autoSpaceDE w:val="0"/>
              <w:autoSpaceDN w:val="0"/>
              <w:adjustRightInd w:val="0"/>
              <w:rPr>
                <w:rFonts w:cstheme="minorHAnsi"/>
                <w:b/>
              </w:rPr>
            </w:pPr>
            <w:r w:rsidRPr="00E34114">
              <w:rPr>
                <w:rFonts w:cstheme="minorHAnsi"/>
                <w:b/>
              </w:rPr>
              <w:t>Course Code</w:t>
            </w:r>
          </w:p>
        </w:tc>
        <w:tc>
          <w:tcPr>
            <w:tcW w:w="3217" w:type="dxa"/>
            <w:shd w:val="clear" w:color="auto" w:fill="D9D9D9" w:themeFill="background1" w:themeFillShade="D9"/>
          </w:tcPr>
          <w:p w:rsidR="00841314" w:rsidRPr="00E34114" w:rsidRDefault="00841314" w:rsidP="00DC52CF">
            <w:pPr>
              <w:autoSpaceDE w:val="0"/>
              <w:autoSpaceDN w:val="0"/>
              <w:adjustRightInd w:val="0"/>
              <w:rPr>
                <w:rFonts w:cstheme="minorHAnsi"/>
                <w:b/>
              </w:rPr>
            </w:pPr>
            <w:r w:rsidRPr="00E34114">
              <w:rPr>
                <w:rFonts w:cstheme="minorHAnsi"/>
                <w:b/>
              </w:rPr>
              <w:t>Course Title</w:t>
            </w:r>
          </w:p>
        </w:tc>
        <w:tc>
          <w:tcPr>
            <w:tcW w:w="1080" w:type="dxa"/>
            <w:shd w:val="clear" w:color="auto" w:fill="D9D9D9" w:themeFill="background1" w:themeFillShade="D9"/>
          </w:tcPr>
          <w:p w:rsidR="00841314" w:rsidRPr="00E34114" w:rsidRDefault="00841314" w:rsidP="00DC52CF">
            <w:pPr>
              <w:autoSpaceDE w:val="0"/>
              <w:autoSpaceDN w:val="0"/>
              <w:adjustRightInd w:val="0"/>
              <w:jc w:val="center"/>
              <w:rPr>
                <w:rFonts w:cstheme="minorHAnsi"/>
                <w:b/>
              </w:rPr>
            </w:pPr>
            <w:r w:rsidRPr="00E34114">
              <w:rPr>
                <w:rFonts w:cstheme="minorHAnsi"/>
                <w:b/>
              </w:rPr>
              <w:t>Semester</w:t>
            </w:r>
          </w:p>
        </w:tc>
        <w:tc>
          <w:tcPr>
            <w:tcW w:w="1350" w:type="dxa"/>
            <w:shd w:val="clear" w:color="auto" w:fill="D9D9D9" w:themeFill="background1" w:themeFillShade="D9"/>
          </w:tcPr>
          <w:p w:rsidR="00841314" w:rsidRPr="00E34114" w:rsidRDefault="00841314" w:rsidP="00DC52CF">
            <w:pPr>
              <w:autoSpaceDE w:val="0"/>
              <w:autoSpaceDN w:val="0"/>
              <w:adjustRightInd w:val="0"/>
              <w:jc w:val="center"/>
              <w:rPr>
                <w:rFonts w:cstheme="minorHAnsi"/>
                <w:b/>
              </w:rPr>
            </w:pPr>
            <w:r w:rsidRPr="00E34114">
              <w:rPr>
                <w:rFonts w:cstheme="minorHAnsi"/>
                <w:b/>
              </w:rPr>
              <w:t>Delivery Mode</w:t>
            </w:r>
          </w:p>
        </w:tc>
        <w:tc>
          <w:tcPr>
            <w:tcW w:w="1440" w:type="dxa"/>
            <w:shd w:val="clear" w:color="auto" w:fill="D9D9D9" w:themeFill="background1" w:themeFillShade="D9"/>
          </w:tcPr>
          <w:p w:rsidR="00841314" w:rsidRPr="00E34114" w:rsidRDefault="00841314" w:rsidP="00DC52CF">
            <w:pPr>
              <w:autoSpaceDE w:val="0"/>
              <w:autoSpaceDN w:val="0"/>
              <w:adjustRightInd w:val="0"/>
              <w:jc w:val="center"/>
              <w:rPr>
                <w:rFonts w:cstheme="minorHAnsi"/>
                <w:b/>
              </w:rPr>
            </w:pPr>
            <w:r w:rsidRPr="00E34114">
              <w:rPr>
                <w:rFonts w:cstheme="minorHAnsi"/>
                <w:b/>
              </w:rPr>
              <w:t>Campus</w:t>
            </w:r>
          </w:p>
        </w:tc>
        <w:tc>
          <w:tcPr>
            <w:tcW w:w="833" w:type="dxa"/>
            <w:shd w:val="clear" w:color="auto" w:fill="D9D9D9" w:themeFill="background1" w:themeFillShade="D9"/>
          </w:tcPr>
          <w:p w:rsidR="00841314" w:rsidRPr="00E34114" w:rsidRDefault="00841314" w:rsidP="00DC52CF">
            <w:pPr>
              <w:autoSpaceDE w:val="0"/>
              <w:autoSpaceDN w:val="0"/>
              <w:adjustRightInd w:val="0"/>
              <w:jc w:val="center"/>
              <w:rPr>
                <w:rFonts w:cstheme="minorHAnsi"/>
                <w:b/>
              </w:rPr>
            </w:pPr>
            <w:r w:rsidRPr="00E34114">
              <w:rPr>
                <w:rFonts w:cstheme="minorHAnsi"/>
                <w:b/>
              </w:rPr>
              <w:t>Fees (FJD)</w:t>
            </w:r>
          </w:p>
        </w:tc>
      </w:tr>
      <w:tr w:rsidR="00AD5880" w:rsidRPr="00E34114" w:rsidTr="00087866">
        <w:trPr>
          <w:trHeight w:hRule="exact" w:val="576"/>
        </w:trPr>
        <w:tc>
          <w:tcPr>
            <w:tcW w:w="990" w:type="dxa"/>
            <w:vAlign w:val="center"/>
          </w:tcPr>
          <w:p w:rsidR="00AD5880" w:rsidRPr="00CC1F19" w:rsidRDefault="00AD5880" w:rsidP="00087866">
            <w:pPr>
              <w:spacing w:line="259" w:lineRule="auto"/>
              <w:rPr>
                <w:rFonts w:cstheme="minorHAnsi"/>
              </w:rPr>
            </w:pPr>
            <w:r w:rsidRPr="00CC1F19">
              <w:rPr>
                <w:rFonts w:cstheme="minorHAnsi"/>
              </w:rPr>
              <w:t xml:space="preserve">CETH41 </w:t>
            </w:r>
          </w:p>
        </w:tc>
        <w:tc>
          <w:tcPr>
            <w:tcW w:w="3217" w:type="dxa"/>
            <w:vAlign w:val="center"/>
          </w:tcPr>
          <w:p w:rsidR="00AD5880" w:rsidRPr="00CC1F19" w:rsidRDefault="00AD5880" w:rsidP="00087866">
            <w:pPr>
              <w:spacing w:line="259" w:lineRule="auto"/>
              <w:ind w:left="4"/>
              <w:rPr>
                <w:rFonts w:cstheme="minorHAnsi"/>
              </w:rPr>
            </w:pPr>
            <w:r w:rsidRPr="00CC1F19">
              <w:rPr>
                <w:rFonts w:cstheme="minorHAnsi"/>
              </w:rPr>
              <w:t>Food &amp; Beverage</w:t>
            </w:r>
            <w:r>
              <w:rPr>
                <w:rFonts w:cstheme="minorHAnsi"/>
              </w:rPr>
              <w:t xml:space="preserve"> Services</w:t>
            </w:r>
            <w:r w:rsidRPr="00CC1F19">
              <w:rPr>
                <w:rFonts w:cstheme="minorHAnsi"/>
              </w:rPr>
              <w:t xml:space="preserve"> I </w:t>
            </w:r>
          </w:p>
        </w:tc>
        <w:tc>
          <w:tcPr>
            <w:tcW w:w="1080" w:type="dxa"/>
            <w:vAlign w:val="center"/>
          </w:tcPr>
          <w:p w:rsidR="00AD5880" w:rsidRPr="00CC1F19" w:rsidRDefault="00087866" w:rsidP="00087866">
            <w:pPr>
              <w:spacing w:line="259" w:lineRule="auto"/>
              <w:ind w:right="41"/>
              <w:jc w:val="center"/>
              <w:rPr>
                <w:rFonts w:cstheme="minorHAnsi"/>
              </w:rPr>
            </w:pPr>
            <w:r>
              <w:rPr>
                <w:rFonts w:cstheme="minorHAnsi"/>
              </w:rPr>
              <w:t>2</w:t>
            </w:r>
          </w:p>
        </w:tc>
        <w:tc>
          <w:tcPr>
            <w:tcW w:w="1350" w:type="dxa"/>
            <w:vAlign w:val="center"/>
          </w:tcPr>
          <w:p w:rsidR="00AD5880" w:rsidRPr="00CC1F19" w:rsidRDefault="00AD5880" w:rsidP="00087866">
            <w:pPr>
              <w:spacing w:line="259" w:lineRule="auto"/>
              <w:ind w:left="2"/>
              <w:jc w:val="center"/>
              <w:rPr>
                <w:rFonts w:cstheme="minorHAnsi"/>
              </w:rPr>
            </w:pPr>
            <w:r w:rsidRPr="00CC1F19">
              <w:rPr>
                <w:rFonts w:cstheme="minorHAnsi"/>
              </w:rPr>
              <w:t>Face to face</w:t>
            </w:r>
          </w:p>
        </w:tc>
        <w:tc>
          <w:tcPr>
            <w:tcW w:w="1440" w:type="dxa"/>
            <w:vAlign w:val="center"/>
          </w:tcPr>
          <w:p w:rsidR="00AD5880" w:rsidRPr="00CC1F19" w:rsidRDefault="00AD5880" w:rsidP="00087866">
            <w:pPr>
              <w:spacing w:line="259" w:lineRule="auto"/>
              <w:ind w:right="41"/>
              <w:jc w:val="center"/>
              <w:rPr>
                <w:rFonts w:cstheme="minorHAnsi"/>
              </w:rPr>
            </w:pPr>
            <w:proofErr w:type="spellStart"/>
            <w:r w:rsidRPr="00CC1F19">
              <w:rPr>
                <w:rFonts w:cstheme="minorHAnsi"/>
              </w:rPr>
              <w:t>Laucala</w:t>
            </w:r>
            <w:proofErr w:type="spellEnd"/>
            <w:r w:rsidRPr="00CC1F19">
              <w:rPr>
                <w:rFonts w:cstheme="minorHAnsi"/>
              </w:rPr>
              <w:t>/Nadi</w:t>
            </w:r>
          </w:p>
        </w:tc>
        <w:tc>
          <w:tcPr>
            <w:tcW w:w="833" w:type="dxa"/>
            <w:vAlign w:val="center"/>
          </w:tcPr>
          <w:p w:rsidR="00AD5880" w:rsidRPr="00CC1F19" w:rsidRDefault="00AD5880" w:rsidP="00087866">
            <w:pPr>
              <w:spacing w:line="259" w:lineRule="auto"/>
              <w:ind w:left="2"/>
              <w:jc w:val="center"/>
              <w:rPr>
                <w:rFonts w:cstheme="minorHAnsi"/>
              </w:rPr>
            </w:pPr>
            <w:r>
              <w:rPr>
                <w:rFonts w:cstheme="minorHAnsi"/>
              </w:rPr>
              <w:t>$475</w:t>
            </w:r>
          </w:p>
        </w:tc>
      </w:tr>
      <w:tr w:rsidR="00AD5880" w:rsidRPr="00E34114" w:rsidTr="00087866">
        <w:trPr>
          <w:trHeight w:hRule="exact" w:val="576"/>
        </w:trPr>
        <w:tc>
          <w:tcPr>
            <w:tcW w:w="990" w:type="dxa"/>
            <w:vAlign w:val="center"/>
          </w:tcPr>
          <w:p w:rsidR="00AD5880" w:rsidRPr="00CC1F19" w:rsidRDefault="00AD5880" w:rsidP="00087866">
            <w:pPr>
              <w:spacing w:line="259" w:lineRule="auto"/>
              <w:rPr>
                <w:rFonts w:cstheme="minorHAnsi"/>
              </w:rPr>
            </w:pPr>
            <w:r w:rsidRPr="00CC1F19">
              <w:rPr>
                <w:rFonts w:cstheme="minorHAnsi"/>
              </w:rPr>
              <w:t xml:space="preserve">CETH42 </w:t>
            </w:r>
          </w:p>
        </w:tc>
        <w:tc>
          <w:tcPr>
            <w:tcW w:w="3217" w:type="dxa"/>
            <w:vAlign w:val="center"/>
          </w:tcPr>
          <w:p w:rsidR="00AD5880" w:rsidRPr="00CC1F19" w:rsidRDefault="00AD5880" w:rsidP="00087866">
            <w:pPr>
              <w:spacing w:line="259" w:lineRule="auto"/>
              <w:ind w:left="4"/>
              <w:rPr>
                <w:rFonts w:cstheme="minorHAnsi"/>
              </w:rPr>
            </w:pPr>
            <w:r w:rsidRPr="00CC1F19">
              <w:rPr>
                <w:rFonts w:cstheme="minorHAnsi"/>
              </w:rPr>
              <w:t>Events</w:t>
            </w:r>
            <w:r>
              <w:rPr>
                <w:rFonts w:cstheme="minorHAnsi"/>
              </w:rPr>
              <w:t xml:space="preserve"> Administration &amp; First Aid</w:t>
            </w:r>
            <w:r w:rsidRPr="00CC1F19">
              <w:rPr>
                <w:rFonts w:cstheme="minorHAnsi"/>
              </w:rPr>
              <w:t xml:space="preserve"> </w:t>
            </w:r>
          </w:p>
        </w:tc>
        <w:tc>
          <w:tcPr>
            <w:tcW w:w="1080" w:type="dxa"/>
            <w:vAlign w:val="center"/>
          </w:tcPr>
          <w:p w:rsidR="00AD5880" w:rsidRPr="00CC1F19" w:rsidRDefault="00087866" w:rsidP="00087866">
            <w:pPr>
              <w:spacing w:line="259" w:lineRule="auto"/>
              <w:ind w:right="41"/>
              <w:jc w:val="center"/>
              <w:rPr>
                <w:rFonts w:cstheme="minorHAnsi"/>
              </w:rPr>
            </w:pPr>
            <w:r>
              <w:rPr>
                <w:rFonts w:cstheme="minorHAnsi"/>
              </w:rPr>
              <w:t>2</w:t>
            </w:r>
          </w:p>
        </w:tc>
        <w:tc>
          <w:tcPr>
            <w:tcW w:w="1350" w:type="dxa"/>
            <w:vAlign w:val="center"/>
          </w:tcPr>
          <w:p w:rsidR="00AD5880" w:rsidRPr="00CC1F19" w:rsidRDefault="00AD5880" w:rsidP="00087866">
            <w:pPr>
              <w:spacing w:line="259" w:lineRule="auto"/>
              <w:ind w:left="2"/>
              <w:jc w:val="center"/>
              <w:rPr>
                <w:rFonts w:cstheme="minorHAnsi"/>
              </w:rPr>
            </w:pPr>
            <w:r w:rsidRPr="00CC1F19">
              <w:rPr>
                <w:rFonts w:cstheme="minorHAnsi"/>
              </w:rPr>
              <w:t>Face to face</w:t>
            </w:r>
          </w:p>
        </w:tc>
        <w:tc>
          <w:tcPr>
            <w:tcW w:w="1440" w:type="dxa"/>
            <w:vAlign w:val="center"/>
          </w:tcPr>
          <w:p w:rsidR="00AD5880" w:rsidRPr="00CC1F19" w:rsidRDefault="00AD5880" w:rsidP="00087866">
            <w:pPr>
              <w:spacing w:line="259" w:lineRule="auto"/>
              <w:ind w:right="41"/>
              <w:jc w:val="center"/>
              <w:rPr>
                <w:rFonts w:cstheme="minorHAnsi"/>
              </w:rPr>
            </w:pPr>
            <w:proofErr w:type="spellStart"/>
            <w:r w:rsidRPr="00CC1F19">
              <w:rPr>
                <w:rFonts w:cstheme="minorHAnsi"/>
              </w:rPr>
              <w:t>Laucala</w:t>
            </w:r>
            <w:proofErr w:type="spellEnd"/>
            <w:r w:rsidRPr="00CC1F19">
              <w:rPr>
                <w:rFonts w:cstheme="minorHAnsi"/>
              </w:rPr>
              <w:t>/Nadi</w:t>
            </w:r>
          </w:p>
        </w:tc>
        <w:tc>
          <w:tcPr>
            <w:tcW w:w="833" w:type="dxa"/>
            <w:vAlign w:val="center"/>
          </w:tcPr>
          <w:p w:rsidR="00AD5880" w:rsidRPr="00CC1F19" w:rsidRDefault="00AD5880" w:rsidP="00087866">
            <w:pPr>
              <w:spacing w:line="259" w:lineRule="auto"/>
              <w:ind w:left="2"/>
              <w:jc w:val="center"/>
              <w:rPr>
                <w:rFonts w:cstheme="minorHAnsi"/>
              </w:rPr>
            </w:pPr>
            <w:r>
              <w:rPr>
                <w:rFonts w:cstheme="minorHAnsi"/>
              </w:rPr>
              <w:t>$475</w:t>
            </w:r>
          </w:p>
        </w:tc>
      </w:tr>
      <w:tr w:rsidR="00AD5880" w:rsidRPr="00E34114" w:rsidTr="00087866">
        <w:trPr>
          <w:trHeight w:hRule="exact" w:val="576"/>
        </w:trPr>
        <w:tc>
          <w:tcPr>
            <w:tcW w:w="990" w:type="dxa"/>
            <w:vAlign w:val="center"/>
          </w:tcPr>
          <w:p w:rsidR="00AD5880" w:rsidRPr="00CC1F19" w:rsidRDefault="00AD5880" w:rsidP="00087866">
            <w:pPr>
              <w:spacing w:line="259" w:lineRule="auto"/>
              <w:rPr>
                <w:rFonts w:cstheme="minorHAnsi"/>
              </w:rPr>
            </w:pPr>
            <w:r w:rsidRPr="00CC1F19">
              <w:rPr>
                <w:rFonts w:cstheme="minorHAnsi"/>
              </w:rPr>
              <w:t xml:space="preserve">CETH43 </w:t>
            </w:r>
          </w:p>
        </w:tc>
        <w:tc>
          <w:tcPr>
            <w:tcW w:w="3217" w:type="dxa"/>
            <w:vAlign w:val="center"/>
          </w:tcPr>
          <w:p w:rsidR="00AD5880" w:rsidRPr="00CC1F19" w:rsidRDefault="00AD5880" w:rsidP="00087866">
            <w:pPr>
              <w:spacing w:line="259" w:lineRule="auto"/>
              <w:ind w:left="4"/>
              <w:rPr>
                <w:rFonts w:cstheme="minorHAnsi"/>
              </w:rPr>
            </w:pPr>
            <w:r>
              <w:rPr>
                <w:rFonts w:cstheme="minorHAnsi"/>
              </w:rPr>
              <w:t xml:space="preserve">Front Office Operations </w:t>
            </w:r>
            <w:r w:rsidRPr="00CC1F19">
              <w:rPr>
                <w:rFonts w:cstheme="minorHAnsi"/>
                <w:b/>
              </w:rPr>
              <w:t xml:space="preserve"> </w:t>
            </w:r>
          </w:p>
        </w:tc>
        <w:tc>
          <w:tcPr>
            <w:tcW w:w="1080" w:type="dxa"/>
            <w:vAlign w:val="center"/>
          </w:tcPr>
          <w:p w:rsidR="00AD5880" w:rsidRPr="00CC1F19" w:rsidRDefault="00087866" w:rsidP="00087866">
            <w:pPr>
              <w:spacing w:line="259" w:lineRule="auto"/>
              <w:ind w:right="41"/>
              <w:jc w:val="center"/>
              <w:rPr>
                <w:rFonts w:cstheme="minorHAnsi"/>
              </w:rPr>
            </w:pPr>
            <w:r>
              <w:rPr>
                <w:rFonts w:cstheme="minorHAnsi"/>
              </w:rPr>
              <w:t>2</w:t>
            </w:r>
          </w:p>
        </w:tc>
        <w:tc>
          <w:tcPr>
            <w:tcW w:w="1350" w:type="dxa"/>
            <w:vAlign w:val="center"/>
          </w:tcPr>
          <w:p w:rsidR="00AD5880" w:rsidRPr="00CC1F19" w:rsidRDefault="00AD5880" w:rsidP="00087866">
            <w:pPr>
              <w:spacing w:line="259" w:lineRule="auto"/>
              <w:ind w:left="2"/>
              <w:jc w:val="center"/>
              <w:rPr>
                <w:rFonts w:cstheme="minorHAnsi"/>
              </w:rPr>
            </w:pPr>
            <w:r w:rsidRPr="00CC1F19">
              <w:rPr>
                <w:rFonts w:cstheme="minorHAnsi"/>
              </w:rPr>
              <w:t>Face to face</w:t>
            </w:r>
          </w:p>
        </w:tc>
        <w:tc>
          <w:tcPr>
            <w:tcW w:w="1440" w:type="dxa"/>
            <w:vAlign w:val="center"/>
          </w:tcPr>
          <w:p w:rsidR="00AD5880" w:rsidRPr="00CC1F19" w:rsidRDefault="00AD5880" w:rsidP="00087866">
            <w:pPr>
              <w:spacing w:line="259" w:lineRule="auto"/>
              <w:ind w:right="41"/>
              <w:jc w:val="center"/>
              <w:rPr>
                <w:rFonts w:cstheme="minorHAnsi"/>
              </w:rPr>
            </w:pPr>
            <w:proofErr w:type="spellStart"/>
            <w:r w:rsidRPr="00CC1F19">
              <w:rPr>
                <w:rFonts w:cstheme="minorHAnsi"/>
              </w:rPr>
              <w:t>Laucala</w:t>
            </w:r>
            <w:proofErr w:type="spellEnd"/>
            <w:r w:rsidRPr="00CC1F19">
              <w:rPr>
                <w:rFonts w:cstheme="minorHAnsi"/>
              </w:rPr>
              <w:t>/Nadi</w:t>
            </w:r>
          </w:p>
        </w:tc>
        <w:tc>
          <w:tcPr>
            <w:tcW w:w="833" w:type="dxa"/>
            <w:vAlign w:val="center"/>
          </w:tcPr>
          <w:p w:rsidR="00AD5880" w:rsidRPr="00CC1F19" w:rsidRDefault="00AD5880" w:rsidP="00087866">
            <w:pPr>
              <w:spacing w:line="259" w:lineRule="auto"/>
              <w:ind w:left="2"/>
              <w:jc w:val="center"/>
              <w:rPr>
                <w:rFonts w:cstheme="minorHAnsi"/>
              </w:rPr>
            </w:pPr>
            <w:r>
              <w:rPr>
                <w:rFonts w:cstheme="minorHAnsi"/>
              </w:rPr>
              <w:t>$475</w:t>
            </w:r>
          </w:p>
        </w:tc>
      </w:tr>
      <w:tr w:rsidR="00AD5880" w:rsidRPr="00E34114" w:rsidTr="00087866">
        <w:trPr>
          <w:trHeight w:hRule="exact" w:val="576"/>
        </w:trPr>
        <w:tc>
          <w:tcPr>
            <w:tcW w:w="990" w:type="dxa"/>
            <w:vAlign w:val="center"/>
          </w:tcPr>
          <w:p w:rsidR="00AD5880" w:rsidRPr="00CC1F19" w:rsidRDefault="00AD5880" w:rsidP="00087866">
            <w:pPr>
              <w:spacing w:line="259" w:lineRule="auto"/>
              <w:rPr>
                <w:rFonts w:cstheme="minorHAnsi"/>
              </w:rPr>
            </w:pPr>
            <w:r w:rsidRPr="00CC1F19">
              <w:rPr>
                <w:rFonts w:cstheme="minorHAnsi"/>
              </w:rPr>
              <w:t xml:space="preserve">CETH44 </w:t>
            </w:r>
          </w:p>
        </w:tc>
        <w:tc>
          <w:tcPr>
            <w:tcW w:w="3217" w:type="dxa"/>
            <w:vAlign w:val="center"/>
          </w:tcPr>
          <w:p w:rsidR="00AD5880" w:rsidRPr="00CC1F19" w:rsidRDefault="00AD5880" w:rsidP="00087866">
            <w:pPr>
              <w:spacing w:line="259" w:lineRule="auto"/>
              <w:ind w:left="4"/>
              <w:rPr>
                <w:rFonts w:cstheme="minorHAnsi"/>
              </w:rPr>
            </w:pPr>
            <w:r>
              <w:rPr>
                <w:rFonts w:cstheme="minorHAnsi"/>
              </w:rPr>
              <w:t>Lead &amp; Coach Service Teams</w:t>
            </w:r>
            <w:r w:rsidRPr="00CC1F19">
              <w:rPr>
                <w:rFonts w:cstheme="minorHAnsi"/>
              </w:rPr>
              <w:t xml:space="preserve"> </w:t>
            </w:r>
          </w:p>
        </w:tc>
        <w:tc>
          <w:tcPr>
            <w:tcW w:w="1080" w:type="dxa"/>
            <w:vAlign w:val="center"/>
          </w:tcPr>
          <w:p w:rsidR="00AD5880" w:rsidRPr="00CC1F19" w:rsidRDefault="00087866" w:rsidP="00087866">
            <w:pPr>
              <w:spacing w:line="259" w:lineRule="auto"/>
              <w:ind w:right="43"/>
              <w:jc w:val="center"/>
              <w:rPr>
                <w:rFonts w:cstheme="minorHAnsi"/>
              </w:rPr>
            </w:pPr>
            <w:r>
              <w:rPr>
                <w:rFonts w:cstheme="minorHAnsi"/>
              </w:rPr>
              <w:t xml:space="preserve">1 </w:t>
            </w:r>
          </w:p>
        </w:tc>
        <w:tc>
          <w:tcPr>
            <w:tcW w:w="1350" w:type="dxa"/>
            <w:vAlign w:val="center"/>
          </w:tcPr>
          <w:p w:rsidR="00AD5880" w:rsidRPr="00CC1F19" w:rsidRDefault="00AD5880" w:rsidP="00087866">
            <w:pPr>
              <w:spacing w:line="259" w:lineRule="auto"/>
              <w:ind w:left="3"/>
              <w:jc w:val="center"/>
              <w:rPr>
                <w:rFonts w:cstheme="minorHAnsi"/>
              </w:rPr>
            </w:pPr>
            <w:r w:rsidRPr="00CC1F19">
              <w:rPr>
                <w:rFonts w:cstheme="minorHAnsi"/>
              </w:rPr>
              <w:t>Face to face</w:t>
            </w:r>
          </w:p>
        </w:tc>
        <w:tc>
          <w:tcPr>
            <w:tcW w:w="1440" w:type="dxa"/>
            <w:vAlign w:val="center"/>
          </w:tcPr>
          <w:p w:rsidR="00AD5880" w:rsidRPr="00CC1F19" w:rsidRDefault="00AD5880" w:rsidP="00087866">
            <w:pPr>
              <w:spacing w:line="259" w:lineRule="auto"/>
              <w:ind w:right="41"/>
              <w:jc w:val="center"/>
              <w:rPr>
                <w:rFonts w:cstheme="minorHAnsi"/>
              </w:rPr>
            </w:pPr>
            <w:proofErr w:type="spellStart"/>
            <w:r w:rsidRPr="00CC1F19">
              <w:rPr>
                <w:rFonts w:cstheme="minorHAnsi"/>
              </w:rPr>
              <w:t>Laucala</w:t>
            </w:r>
            <w:proofErr w:type="spellEnd"/>
            <w:r w:rsidRPr="00CC1F19">
              <w:rPr>
                <w:rFonts w:cstheme="minorHAnsi"/>
              </w:rPr>
              <w:t>/Nadi</w:t>
            </w:r>
          </w:p>
        </w:tc>
        <w:tc>
          <w:tcPr>
            <w:tcW w:w="833" w:type="dxa"/>
            <w:vAlign w:val="center"/>
          </w:tcPr>
          <w:p w:rsidR="00AD5880" w:rsidRPr="00CC1F19" w:rsidRDefault="00AD5880" w:rsidP="00087866">
            <w:pPr>
              <w:spacing w:line="259" w:lineRule="auto"/>
              <w:ind w:left="3"/>
              <w:jc w:val="center"/>
              <w:rPr>
                <w:rFonts w:cstheme="minorHAnsi"/>
              </w:rPr>
            </w:pPr>
            <w:r>
              <w:rPr>
                <w:rFonts w:cstheme="minorHAnsi"/>
              </w:rPr>
              <w:t>$475</w:t>
            </w:r>
          </w:p>
        </w:tc>
      </w:tr>
      <w:tr w:rsidR="00AD5880" w:rsidRPr="00E34114" w:rsidTr="00087866">
        <w:trPr>
          <w:trHeight w:hRule="exact" w:val="576"/>
        </w:trPr>
        <w:tc>
          <w:tcPr>
            <w:tcW w:w="990" w:type="dxa"/>
            <w:vAlign w:val="center"/>
          </w:tcPr>
          <w:p w:rsidR="00AD5880" w:rsidRPr="00CC1F19" w:rsidRDefault="00AD5880" w:rsidP="00087866">
            <w:pPr>
              <w:spacing w:line="259" w:lineRule="auto"/>
              <w:rPr>
                <w:rFonts w:cstheme="minorHAnsi"/>
              </w:rPr>
            </w:pPr>
            <w:r w:rsidRPr="00CC1F19">
              <w:rPr>
                <w:rFonts w:cstheme="minorHAnsi"/>
              </w:rPr>
              <w:t xml:space="preserve">CETH45 </w:t>
            </w:r>
          </w:p>
        </w:tc>
        <w:tc>
          <w:tcPr>
            <w:tcW w:w="3217" w:type="dxa"/>
            <w:vAlign w:val="center"/>
          </w:tcPr>
          <w:p w:rsidR="00AD5880" w:rsidRPr="00CC1F19" w:rsidRDefault="00AD5880" w:rsidP="00087866">
            <w:pPr>
              <w:spacing w:line="259" w:lineRule="auto"/>
              <w:ind w:left="4"/>
              <w:rPr>
                <w:rFonts w:cstheme="minorHAnsi"/>
              </w:rPr>
            </w:pPr>
            <w:r w:rsidRPr="00CC1F19">
              <w:rPr>
                <w:rFonts w:cstheme="minorHAnsi"/>
              </w:rPr>
              <w:t xml:space="preserve">Food &amp; Beverage </w:t>
            </w:r>
            <w:r>
              <w:rPr>
                <w:rFonts w:cstheme="minorHAnsi"/>
              </w:rPr>
              <w:t>Services II</w:t>
            </w:r>
          </w:p>
        </w:tc>
        <w:tc>
          <w:tcPr>
            <w:tcW w:w="1080" w:type="dxa"/>
            <w:vAlign w:val="center"/>
          </w:tcPr>
          <w:p w:rsidR="00AD5880" w:rsidRPr="00CC1F19" w:rsidRDefault="00087866" w:rsidP="00087866">
            <w:pPr>
              <w:spacing w:line="259" w:lineRule="auto"/>
              <w:ind w:right="41"/>
              <w:jc w:val="center"/>
              <w:rPr>
                <w:rFonts w:cstheme="minorHAnsi"/>
              </w:rPr>
            </w:pPr>
            <w:r>
              <w:rPr>
                <w:rFonts w:cstheme="minorHAnsi"/>
              </w:rPr>
              <w:t>1</w:t>
            </w:r>
          </w:p>
        </w:tc>
        <w:tc>
          <w:tcPr>
            <w:tcW w:w="1350" w:type="dxa"/>
            <w:vAlign w:val="center"/>
          </w:tcPr>
          <w:p w:rsidR="00AD5880" w:rsidRPr="00CC1F19" w:rsidRDefault="00AD5880" w:rsidP="00087866">
            <w:pPr>
              <w:spacing w:line="259" w:lineRule="auto"/>
              <w:ind w:left="2"/>
              <w:jc w:val="center"/>
              <w:rPr>
                <w:rFonts w:cstheme="minorHAnsi"/>
              </w:rPr>
            </w:pPr>
            <w:r w:rsidRPr="00CC1F19">
              <w:rPr>
                <w:rFonts w:cstheme="minorHAnsi"/>
              </w:rPr>
              <w:t>Face to face</w:t>
            </w:r>
          </w:p>
        </w:tc>
        <w:tc>
          <w:tcPr>
            <w:tcW w:w="1440" w:type="dxa"/>
            <w:vAlign w:val="center"/>
          </w:tcPr>
          <w:p w:rsidR="00AD5880" w:rsidRPr="00CC1F19" w:rsidRDefault="00AD5880" w:rsidP="00087866">
            <w:pPr>
              <w:spacing w:line="259" w:lineRule="auto"/>
              <w:ind w:right="41"/>
              <w:jc w:val="center"/>
              <w:rPr>
                <w:rFonts w:cstheme="minorHAnsi"/>
              </w:rPr>
            </w:pPr>
            <w:proofErr w:type="spellStart"/>
            <w:r w:rsidRPr="00CC1F19">
              <w:rPr>
                <w:rFonts w:cstheme="minorHAnsi"/>
              </w:rPr>
              <w:t>Laucala</w:t>
            </w:r>
            <w:proofErr w:type="spellEnd"/>
            <w:r w:rsidRPr="00CC1F19">
              <w:rPr>
                <w:rFonts w:cstheme="minorHAnsi"/>
              </w:rPr>
              <w:t>/Nadi</w:t>
            </w:r>
          </w:p>
        </w:tc>
        <w:tc>
          <w:tcPr>
            <w:tcW w:w="833" w:type="dxa"/>
            <w:vAlign w:val="center"/>
          </w:tcPr>
          <w:p w:rsidR="00AD5880" w:rsidRPr="00CC1F19" w:rsidRDefault="00AD5880" w:rsidP="00087866">
            <w:pPr>
              <w:spacing w:line="259" w:lineRule="auto"/>
              <w:ind w:left="2"/>
              <w:jc w:val="center"/>
              <w:rPr>
                <w:rFonts w:cstheme="minorHAnsi"/>
              </w:rPr>
            </w:pPr>
            <w:r>
              <w:rPr>
                <w:rFonts w:cstheme="minorHAnsi"/>
              </w:rPr>
              <w:t>$475</w:t>
            </w:r>
          </w:p>
        </w:tc>
      </w:tr>
      <w:tr w:rsidR="00AD5880" w:rsidRPr="00E34114" w:rsidTr="00087866">
        <w:trPr>
          <w:trHeight w:hRule="exact" w:val="576"/>
        </w:trPr>
        <w:tc>
          <w:tcPr>
            <w:tcW w:w="990" w:type="dxa"/>
            <w:vAlign w:val="center"/>
          </w:tcPr>
          <w:p w:rsidR="00AD5880" w:rsidRPr="00CC1F19" w:rsidRDefault="00AD5880" w:rsidP="00087866">
            <w:pPr>
              <w:spacing w:line="259" w:lineRule="auto"/>
              <w:rPr>
                <w:rFonts w:cstheme="minorHAnsi"/>
              </w:rPr>
            </w:pPr>
            <w:r w:rsidRPr="00CC1F19">
              <w:rPr>
                <w:rFonts w:cstheme="minorHAnsi"/>
              </w:rPr>
              <w:t>CETH 46</w:t>
            </w:r>
          </w:p>
        </w:tc>
        <w:tc>
          <w:tcPr>
            <w:tcW w:w="3217" w:type="dxa"/>
            <w:vAlign w:val="center"/>
          </w:tcPr>
          <w:p w:rsidR="00AD5880" w:rsidRPr="00CC1F19" w:rsidRDefault="00AD5880" w:rsidP="00087866">
            <w:pPr>
              <w:spacing w:line="259" w:lineRule="auto"/>
              <w:ind w:left="4"/>
              <w:rPr>
                <w:rFonts w:cstheme="minorHAnsi"/>
              </w:rPr>
            </w:pPr>
            <w:r>
              <w:rPr>
                <w:rFonts w:cstheme="minorHAnsi"/>
              </w:rPr>
              <w:t>Hospitality Operations &amp; Budgets</w:t>
            </w:r>
          </w:p>
        </w:tc>
        <w:tc>
          <w:tcPr>
            <w:tcW w:w="1080" w:type="dxa"/>
            <w:vAlign w:val="center"/>
          </w:tcPr>
          <w:p w:rsidR="00AD5880" w:rsidRPr="00CC1F19" w:rsidRDefault="00087866" w:rsidP="00087866">
            <w:pPr>
              <w:spacing w:line="259" w:lineRule="auto"/>
              <w:ind w:right="41"/>
              <w:jc w:val="center"/>
              <w:rPr>
                <w:rFonts w:cstheme="minorHAnsi"/>
              </w:rPr>
            </w:pPr>
            <w:r>
              <w:rPr>
                <w:rFonts w:cstheme="minorHAnsi"/>
              </w:rPr>
              <w:t>1</w:t>
            </w:r>
          </w:p>
        </w:tc>
        <w:tc>
          <w:tcPr>
            <w:tcW w:w="1350" w:type="dxa"/>
            <w:vAlign w:val="center"/>
          </w:tcPr>
          <w:p w:rsidR="00AD5880" w:rsidRPr="00CC1F19" w:rsidRDefault="00AD5880" w:rsidP="00087866">
            <w:pPr>
              <w:spacing w:line="259" w:lineRule="auto"/>
              <w:ind w:left="2"/>
              <w:jc w:val="center"/>
              <w:rPr>
                <w:rFonts w:cstheme="minorHAnsi"/>
              </w:rPr>
            </w:pPr>
            <w:r w:rsidRPr="00CC1F19">
              <w:rPr>
                <w:rFonts w:cstheme="minorHAnsi"/>
              </w:rPr>
              <w:t>Face to face</w:t>
            </w:r>
          </w:p>
        </w:tc>
        <w:tc>
          <w:tcPr>
            <w:tcW w:w="1440" w:type="dxa"/>
            <w:vAlign w:val="center"/>
          </w:tcPr>
          <w:p w:rsidR="00AD5880" w:rsidRPr="00CC1F19" w:rsidRDefault="00AD5880" w:rsidP="00087866">
            <w:pPr>
              <w:spacing w:line="259" w:lineRule="auto"/>
              <w:ind w:right="41"/>
              <w:jc w:val="center"/>
              <w:rPr>
                <w:rFonts w:cstheme="minorHAnsi"/>
              </w:rPr>
            </w:pPr>
            <w:proofErr w:type="spellStart"/>
            <w:r w:rsidRPr="00CC1F19">
              <w:rPr>
                <w:rFonts w:cstheme="minorHAnsi"/>
              </w:rPr>
              <w:t>Laucala</w:t>
            </w:r>
            <w:proofErr w:type="spellEnd"/>
            <w:r w:rsidRPr="00CC1F19">
              <w:rPr>
                <w:rFonts w:cstheme="minorHAnsi"/>
              </w:rPr>
              <w:t>/Nadi</w:t>
            </w:r>
          </w:p>
        </w:tc>
        <w:tc>
          <w:tcPr>
            <w:tcW w:w="833" w:type="dxa"/>
            <w:vAlign w:val="center"/>
          </w:tcPr>
          <w:p w:rsidR="00AD5880" w:rsidRPr="00CC1F19" w:rsidRDefault="00AD5880" w:rsidP="00087866">
            <w:pPr>
              <w:spacing w:line="259" w:lineRule="auto"/>
              <w:ind w:left="2"/>
              <w:jc w:val="center"/>
              <w:rPr>
                <w:rFonts w:cstheme="minorHAnsi"/>
              </w:rPr>
            </w:pPr>
            <w:r>
              <w:rPr>
                <w:rFonts w:cstheme="minorHAnsi"/>
              </w:rPr>
              <w:t>$475</w:t>
            </w:r>
          </w:p>
        </w:tc>
      </w:tr>
      <w:tr w:rsidR="00AD5880" w:rsidRPr="00E34114" w:rsidTr="00087866">
        <w:trPr>
          <w:trHeight w:hRule="exact" w:val="576"/>
        </w:trPr>
        <w:tc>
          <w:tcPr>
            <w:tcW w:w="990" w:type="dxa"/>
            <w:vAlign w:val="center"/>
          </w:tcPr>
          <w:p w:rsidR="00AD5880" w:rsidRPr="00CC1F19" w:rsidRDefault="00AD5880" w:rsidP="00087866">
            <w:pPr>
              <w:spacing w:line="259" w:lineRule="auto"/>
              <w:rPr>
                <w:rFonts w:cstheme="minorHAnsi"/>
              </w:rPr>
            </w:pPr>
            <w:r w:rsidRPr="00CC1F19">
              <w:rPr>
                <w:rFonts w:cstheme="minorHAnsi"/>
              </w:rPr>
              <w:lastRenderedPageBreak/>
              <w:t xml:space="preserve">CETH48 </w:t>
            </w:r>
          </w:p>
        </w:tc>
        <w:tc>
          <w:tcPr>
            <w:tcW w:w="3217" w:type="dxa"/>
            <w:vAlign w:val="center"/>
          </w:tcPr>
          <w:p w:rsidR="00AD5880" w:rsidRPr="00CC1F19" w:rsidRDefault="00AD5880" w:rsidP="00087866">
            <w:pPr>
              <w:spacing w:line="259" w:lineRule="auto"/>
              <w:ind w:left="4"/>
              <w:rPr>
                <w:rFonts w:cstheme="minorHAnsi"/>
              </w:rPr>
            </w:pPr>
            <w:r w:rsidRPr="00CC1F19">
              <w:rPr>
                <w:rFonts w:cstheme="minorHAnsi"/>
              </w:rPr>
              <w:t xml:space="preserve">Workplace </w:t>
            </w:r>
            <w:r>
              <w:rPr>
                <w:rFonts w:cstheme="minorHAnsi"/>
              </w:rPr>
              <w:t>Attachment -</w:t>
            </w:r>
            <w:r w:rsidRPr="00CC1F19">
              <w:rPr>
                <w:rFonts w:cstheme="minorHAnsi"/>
              </w:rPr>
              <w:t xml:space="preserve"> Hospitality </w:t>
            </w:r>
          </w:p>
        </w:tc>
        <w:tc>
          <w:tcPr>
            <w:tcW w:w="1080" w:type="dxa"/>
            <w:vAlign w:val="center"/>
          </w:tcPr>
          <w:p w:rsidR="00AD5880" w:rsidRPr="00CC1F19" w:rsidRDefault="00AD5880" w:rsidP="00087866">
            <w:pPr>
              <w:spacing w:line="259" w:lineRule="auto"/>
              <w:ind w:right="44"/>
              <w:jc w:val="center"/>
              <w:rPr>
                <w:rFonts w:cstheme="minorHAnsi"/>
              </w:rPr>
            </w:pPr>
            <w:r w:rsidRPr="00CC1F19">
              <w:rPr>
                <w:rFonts w:cstheme="minorHAnsi"/>
              </w:rPr>
              <w:t>1 &amp; 2</w:t>
            </w:r>
          </w:p>
        </w:tc>
        <w:tc>
          <w:tcPr>
            <w:tcW w:w="1350" w:type="dxa"/>
            <w:vAlign w:val="center"/>
          </w:tcPr>
          <w:p w:rsidR="00AD5880" w:rsidRPr="00CC1F19" w:rsidRDefault="00AD5880" w:rsidP="00087866">
            <w:pPr>
              <w:spacing w:line="259" w:lineRule="auto"/>
              <w:ind w:left="2"/>
              <w:jc w:val="center"/>
              <w:rPr>
                <w:rFonts w:cstheme="minorHAnsi"/>
              </w:rPr>
            </w:pPr>
            <w:r>
              <w:rPr>
                <w:rFonts w:cstheme="minorHAnsi"/>
              </w:rPr>
              <w:t>Blended</w:t>
            </w:r>
          </w:p>
        </w:tc>
        <w:tc>
          <w:tcPr>
            <w:tcW w:w="1440" w:type="dxa"/>
            <w:vAlign w:val="center"/>
          </w:tcPr>
          <w:p w:rsidR="00AD5880" w:rsidRPr="00CC1F19" w:rsidRDefault="00AD5880" w:rsidP="00087866">
            <w:pPr>
              <w:spacing w:line="259" w:lineRule="auto"/>
              <w:ind w:right="42"/>
              <w:jc w:val="center"/>
              <w:rPr>
                <w:rFonts w:cstheme="minorHAnsi"/>
              </w:rPr>
            </w:pPr>
            <w:r>
              <w:rPr>
                <w:rFonts w:cstheme="minorHAnsi"/>
              </w:rPr>
              <w:t>All Campuses</w:t>
            </w:r>
          </w:p>
        </w:tc>
        <w:tc>
          <w:tcPr>
            <w:tcW w:w="833" w:type="dxa"/>
            <w:vAlign w:val="center"/>
          </w:tcPr>
          <w:p w:rsidR="00AD5880" w:rsidRPr="00CC1F19" w:rsidRDefault="00AD5880" w:rsidP="00087866">
            <w:pPr>
              <w:spacing w:line="259" w:lineRule="auto"/>
              <w:ind w:left="2"/>
              <w:jc w:val="center"/>
              <w:rPr>
                <w:rFonts w:cstheme="minorHAnsi"/>
              </w:rPr>
            </w:pPr>
            <w:r>
              <w:rPr>
                <w:rFonts w:cstheme="minorHAnsi"/>
              </w:rPr>
              <w:t>$695</w:t>
            </w:r>
          </w:p>
        </w:tc>
      </w:tr>
      <w:tr w:rsidR="003F61B3" w:rsidRPr="00E34114" w:rsidTr="00863230">
        <w:trPr>
          <w:trHeight w:hRule="exact" w:val="576"/>
        </w:trPr>
        <w:tc>
          <w:tcPr>
            <w:tcW w:w="990" w:type="dxa"/>
            <w:vAlign w:val="center"/>
          </w:tcPr>
          <w:p w:rsidR="003F61B3" w:rsidRPr="00E34114" w:rsidRDefault="00757824" w:rsidP="00863230">
            <w:pPr>
              <w:pStyle w:val="NoSpacing"/>
              <w:rPr>
                <w:rFonts w:cstheme="minorHAnsi"/>
              </w:rPr>
            </w:pPr>
            <w:r w:rsidRPr="00E34114">
              <w:rPr>
                <w:rFonts w:cstheme="minorHAnsi"/>
              </w:rPr>
              <w:t>CETH</w:t>
            </w:r>
            <w:r w:rsidR="003F61B3" w:rsidRPr="00E34114">
              <w:rPr>
                <w:rFonts w:cstheme="minorHAnsi"/>
              </w:rPr>
              <w:t>51</w:t>
            </w:r>
          </w:p>
        </w:tc>
        <w:tc>
          <w:tcPr>
            <w:tcW w:w="3217" w:type="dxa"/>
            <w:vAlign w:val="center"/>
          </w:tcPr>
          <w:p w:rsidR="003F61B3" w:rsidRPr="00E34114" w:rsidRDefault="0048071B" w:rsidP="00863230">
            <w:pPr>
              <w:rPr>
                <w:rFonts w:cstheme="minorHAnsi"/>
              </w:rPr>
            </w:pPr>
            <w:r>
              <w:rPr>
                <w:rFonts w:cstheme="minorHAnsi"/>
              </w:rPr>
              <w:t>Food &amp; Beverage Operations</w:t>
            </w:r>
          </w:p>
        </w:tc>
        <w:tc>
          <w:tcPr>
            <w:tcW w:w="1080" w:type="dxa"/>
            <w:vAlign w:val="center"/>
          </w:tcPr>
          <w:p w:rsidR="003F61B3" w:rsidRPr="00E34114" w:rsidRDefault="003F61B3" w:rsidP="003F61B3">
            <w:pPr>
              <w:pStyle w:val="NoSpacing"/>
              <w:jc w:val="center"/>
              <w:rPr>
                <w:rFonts w:cstheme="minorHAnsi"/>
              </w:rPr>
            </w:pPr>
            <w:r w:rsidRPr="00E34114">
              <w:rPr>
                <w:rFonts w:cstheme="minorHAnsi"/>
              </w:rPr>
              <w:t>2</w:t>
            </w:r>
          </w:p>
        </w:tc>
        <w:tc>
          <w:tcPr>
            <w:tcW w:w="1350" w:type="dxa"/>
            <w:vAlign w:val="center"/>
          </w:tcPr>
          <w:p w:rsidR="003F61B3" w:rsidRPr="00E34114" w:rsidRDefault="0048071B" w:rsidP="003F61B3">
            <w:pPr>
              <w:pStyle w:val="NoSpacing"/>
              <w:rPr>
                <w:rFonts w:cstheme="minorHAnsi"/>
              </w:rPr>
            </w:pPr>
            <w:r>
              <w:rPr>
                <w:rFonts w:cstheme="minorHAnsi"/>
              </w:rPr>
              <w:t>Face to Face</w:t>
            </w:r>
          </w:p>
        </w:tc>
        <w:tc>
          <w:tcPr>
            <w:tcW w:w="1440" w:type="dxa"/>
            <w:vAlign w:val="center"/>
          </w:tcPr>
          <w:p w:rsidR="003F61B3" w:rsidRPr="00E34114" w:rsidRDefault="0048071B" w:rsidP="0048071B">
            <w:pPr>
              <w:pStyle w:val="NoSpacing"/>
              <w:rPr>
                <w:rFonts w:cstheme="minorHAnsi"/>
              </w:rPr>
            </w:pPr>
            <w:proofErr w:type="spellStart"/>
            <w:r>
              <w:rPr>
                <w:rFonts w:cstheme="minorHAnsi"/>
              </w:rPr>
              <w:t>Laucala</w:t>
            </w:r>
            <w:proofErr w:type="spellEnd"/>
            <w:r>
              <w:rPr>
                <w:rFonts w:cstheme="minorHAnsi"/>
              </w:rPr>
              <w:t>/Nadi</w:t>
            </w:r>
          </w:p>
        </w:tc>
        <w:tc>
          <w:tcPr>
            <w:tcW w:w="833" w:type="dxa"/>
            <w:vAlign w:val="center"/>
          </w:tcPr>
          <w:p w:rsidR="003F61B3" w:rsidRPr="00E34114" w:rsidRDefault="00FB0284" w:rsidP="003F61B3">
            <w:pPr>
              <w:pStyle w:val="NoSpacing"/>
              <w:rPr>
                <w:rFonts w:cstheme="minorHAnsi"/>
              </w:rPr>
            </w:pPr>
            <w:r>
              <w:rPr>
                <w:rFonts w:cstheme="minorHAnsi"/>
              </w:rPr>
              <w:t>$1,365</w:t>
            </w:r>
          </w:p>
        </w:tc>
      </w:tr>
      <w:tr w:rsidR="0048071B" w:rsidRPr="00E34114" w:rsidTr="00863230">
        <w:trPr>
          <w:trHeight w:hRule="exact" w:val="576"/>
        </w:trPr>
        <w:tc>
          <w:tcPr>
            <w:tcW w:w="990" w:type="dxa"/>
            <w:vAlign w:val="center"/>
          </w:tcPr>
          <w:p w:rsidR="0048071B" w:rsidRPr="00E34114" w:rsidRDefault="0048071B" w:rsidP="00863230">
            <w:pPr>
              <w:pStyle w:val="NoSpacing"/>
              <w:rPr>
                <w:rFonts w:cstheme="minorHAnsi"/>
              </w:rPr>
            </w:pPr>
            <w:r w:rsidRPr="00E34114">
              <w:rPr>
                <w:rFonts w:cstheme="minorHAnsi"/>
              </w:rPr>
              <w:t>CETH52</w:t>
            </w:r>
          </w:p>
        </w:tc>
        <w:tc>
          <w:tcPr>
            <w:tcW w:w="3217" w:type="dxa"/>
            <w:vAlign w:val="center"/>
          </w:tcPr>
          <w:p w:rsidR="0048071B" w:rsidRPr="00E34114" w:rsidRDefault="0048071B" w:rsidP="00863230">
            <w:pPr>
              <w:rPr>
                <w:rFonts w:cstheme="minorHAnsi"/>
              </w:rPr>
            </w:pPr>
            <w:r>
              <w:rPr>
                <w:rFonts w:cstheme="minorHAnsi"/>
              </w:rPr>
              <w:t>Events Administration and Sales &amp; Marketing</w:t>
            </w:r>
          </w:p>
        </w:tc>
        <w:tc>
          <w:tcPr>
            <w:tcW w:w="1080" w:type="dxa"/>
            <w:vAlign w:val="center"/>
          </w:tcPr>
          <w:p w:rsidR="0048071B" w:rsidRPr="00E34114" w:rsidRDefault="0048071B" w:rsidP="0048071B">
            <w:pPr>
              <w:jc w:val="center"/>
              <w:rPr>
                <w:rFonts w:cstheme="minorHAnsi"/>
              </w:rPr>
            </w:pPr>
            <w:r w:rsidRPr="00E34114">
              <w:rPr>
                <w:rFonts w:cstheme="minorHAnsi"/>
              </w:rPr>
              <w:t>2</w:t>
            </w:r>
          </w:p>
        </w:tc>
        <w:tc>
          <w:tcPr>
            <w:tcW w:w="1350" w:type="dxa"/>
            <w:vAlign w:val="center"/>
          </w:tcPr>
          <w:p w:rsidR="0048071B" w:rsidRPr="00E34114" w:rsidRDefault="00087866" w:rsidP="0048071B">
            <w:pPr>
              <w:pStyle w:val="NoSpacing"/>
              <w:rPr>
                <w:rFonts w:cstheme="minorHAnsi"/>
              </w:rPr>
            </w:pPr>
            <w:r>
              <w:rPr>
                <w:rFonts w:cstheme="minorHAnsi"/>
              </w:rPr>
              <w:t>Face to face</w:t>
            </w:r>
          </w:p>
        </w:tc>
        <w:tc>
          <w:tcPr>
            <w:tcW w:w="1440" w:type="dxa"/>
            <w:vAlign w:val="center"/>
          </w:tcPr>
          <w:p w:rsidR="0048071B" w:rsidRPr="00E34114" w:rsidRDefault="0048071B" w:rsidP="0048071B">
            <w:pPr>
              <w:pStyle w:val="NoSpacing"/>
              <w:rPr>
                <w:rFonts w:cstheme="minorHAnsi"/>
              </w:rPr>
            </w:pPr>
            <w:proofErr w:type="spellStart"/>
            <w:r>
              <w:rPr>
                <w:rFonts w:cstheme="minorHAnsi"/>
              </w:rPr>
              <w:t>Laucala</w:t>
            </w:r>
            <w:proofErr w:type="spellEnd"/>
            <w:r>
              <w:rPr>
                <w:rFonts w:cstheme="minorHAnsi"/>
              </w:rPr>
              <w:t>/Nadi</w:t>
            </w:r>
          </w:p>
        </w:tc>
        <w:tc>
          <w:tcPr>
            <w:tcW w:w="833" w:type="dxa"/>
            <w:vAlign w:val="center"/>
          </w:tcPr>
          <w:p w:rsidR="0048071B" w:rsidRPr="00E34114" w:rsidRDefault="0048071B" w:rsidP="0048071B">
            <w:pPr>
              <w:pStyle w:val="NoSpacing"/>
              <w:rPr>
                <w:rFonts w:cstheme="minorHAnsi"/>
              </w:rPr>
            </w:pPr>
            <w:r>
              <w:rPr>
                <w:rFonts w:cstheme="minorHAnsi"/>
              </w:rPr>
              <w:t>$1,365</w:t>
            </w:r>
          </w:p>
        </w:tc>
      </w:tr>
      <w:tr w:rsidR="003F61B3" w:rsidRPr="00E34114" w:rsidTr="00863230">
        <w:trPr>
          <w:trHeight w:hRule="exact" w:val="576"/>
        </w:trPr>
        <w:tc>
          <w:tcPr>
            <w:tcW w:w="990" w:type="dxa"/>
            <w:vAlign w:val="center"/>
          </w:tcPr>
          <w:p w:rsidR="003F61B3" w:rsidRPr="00E34114" w:rsidRDefault="00757824" w:rsidP="00863230">
            <w:pPr>
              <w:pStyle w:val="NoSpacing"/>
              <w:rPr>
                <w:rFonts w:cstheme="minorHAnsi"/>
              </w:rPr>
            </w:pPr>
            <w:r w:rsidRPr="00E34114">
              <w:rPr>
                <w:rFonts w:cstheme="minorHAnsi"/>
              </w:rPr>
              <w:t>CETH</w:t>
            </w:r>
            <w:r w:rsidR="003F61B3" w:rsidRPr="00E34114">
              <w:rPr>
                <w:rFonts w:cstheme="minorHAnsi"/>
              </w:rPr>
              <w:t>53</w:t>
            </w:r>
          </w:p>
        </w:tc>
        <w:tc>
          <w:tcPr>
            <w:tcW w:w="3217" w:type="dxa"/>
            <w:vAlign w:val="center"/>
          </w:tcPr>
          <w:p w:rsidR="003F61B3" w:rsidRPr="00E34114" w:rsidRDefault="003F61B3" w:rsidP="00863230">
            <w:pPr>
              <w:spacing w:line="276" w:lineRule="auto"/>
              <w:rPr>
                <w:rFonts w:cstheme="minorHAnsi"/>
                <w:b/>
              </w:rPr>
            </w:pPr>
            <w:r w:rsidRPr="00E34114">
              <w:rPr>
                <w:rFonts w:cstheme="minorHAnsi"/>
              </w:rPr>
              <w:t xml:space="preserve">Hospitality Operations Budgets </w:t>
            </w:r>
            <w:r w:rsidR="0048071B">
              <w:rPr>
                <w:rFonts w:cstheme="minorHAnsi"/>
              </w:rPr>
              <w:t>II</w:t>
            </w:r>
          </w:p>
        </w:tc>
        <w:tc>
          <w:tcPr>
            <w:tcW w:w="1080" w:type="dxa"/>
            <w:vAlign w:val="center"/>
          </w:tcPr>
          <w:p w:rsidR="003F61B3" w:rsidRPr="00E34114" w:rsidRDefault="003F61B3" w:rsidP="003F61B3">
            <w:pPr>
              <w:jc w:val="center"/>
              <w:rPr>
                <w:rFonts w:cstheme="minorHAnsi"/>
              </w:rPr>
            </w:pPr>
            <w:r w:rsidRPr="00E34114">
              <w:rPr>
                <w:rFonts w:cstheme="minorHAnsi"/>
              </w:rPr>
              <w:t>2</w:t>
            </w:r>
          </w:p>
        </w:tc>
        <w:tc>
          <w:tcPr>
            <w:tcW w:w="1350" w:type="dxa"/>
            <w:vAlign w:val="center"/>
          </w:tcPr>
          <w:p w:rsidR="003F61B3" w:rsidRPr="00E34114" w:rsidRDefault="00087866" w:rsidP="003F61B3">
            <w:pPr>
              <w:pStyle w:val="NoSpacing"/>
              <w:rPr>
                <w:rFonts w:cstheme="minorHAnsi"/>
              </w:rPr>
            </w:pPr>
            <w:r>
              <w:rPr>
                <w:rFonts w:cstheme="minorHAnsi"/>
              </w:rPr>
              <w:t>Face to face</w:t>
            </w:r>
          </w:p>
        </w:tc>
        <w:tc>
          <w:tcPr>
            <w:tcW w:w="1440" w:type="dxa"/>
            <w:vAlign w:val="center"/>
          </w:tcPr>
          <w:p w:rsidR="003F61B3" w:rsidRPr="00E34114" w:rsidRDefault="0048071B" w:rsidP="003F61B3">
            <w:pPr>
              <w:rPr>
                <w:rFonts w:cstheme="minorHAnsi"/>
              </w:rPr>
            </w:pPr>
            <w:proofErr w:type="spellStart"/>
            <w:r>
              <w:rPr>
                <w:rFonts w:cstheme="minorHAnsi"/>
              </w:rPr>
              <w:t>Laucala</w:t>
            </w:r>
            <w:proofErr w:type="spellEnd"/>
            <w:r>
              <w:rPr>
                <w:rFonts w:cstheme="minorHAnsi"/>
              </w:rPr>
              <w:t>/Nadi</w:t>
            </w:r>
          </w:p>
        </w:tc>
        <w:tc>
          <w:tcPr>
            <w:tcW w:w="833" w:type="dxa"/>
            <w:vAlign w:val="center"/>
          </w:tcPr>
          <w:p w:rsidR="003F61B3" w:rsidRPr="00E34114" w:rsidRDefault="00FB0284" w:rsidP="003F61B3">
            <w:pPr>
              <w:pStyle w:val="NoSpacing"/>
              <w:rPr>
                <w:rFonts w:cstheme="minorHAnsi"/>
              </w:rPr>
            </w:pPr>
            <w:r>
              <w:rPr>
                <w:rFonts w:cstheme="minorHAnsi"/>
              </w:rPr>
              <w:t>$950</w:t>
            </w:r>
          </w:p>
        </w:tc>
      </w:tr>
      <w:tr w:rsidR="0048071B" w:rsidRPr="00E34114" w:rsidTr="00863230">
        <w:trPr>
          <w:trHeight w:hRule="exact" w:val="576"/>
        </w:trPr>
        <w:tc>
          <w:tcPr>
            <w:tcW w:w="990" w:type="dxa"/>
            <w:vAlign w:val="center"/>
          </w:tcPr>
          <w:p w:rsidR="0048071B" w:rsidRPr="00E34114" w:rsidRDefault="0048071B" w:rsidP="00863230">
            <w:pPr>
              <w:pStyle w:val="NoSpacing"/>
              <w:rPr>
                <w:rFonts w:cstheme="minorHAnsi"/>
              </w:rPr>
            </w:pPr>
            <w:r w:rsidRPr="00E34114">
              <w:rPr>
                <w:rFonts w:cstheme="minorHAnsi"/>
              </w:rPr>
              <w:t>CETH54</w:t>
            </w:r>
          </w:p>
        </w:tc>
        <w:tc>
          <w:tcPr>
            <w:tcW w:w="3217" w:type="dxa"/>
            <w:vAlign w:val="center"/>
          </w:tcPr>
          <w:p w:rsidR="0048071B" w:rsidRPr="00E34114" w:rsidRDefault="0048071B" w:rsidP="00863230">
            <w:pPr>
              <w:spacing w:line="276" w:lineRule="auto"/>
              <w:rPr>
                <w:rFonts w:cstheme="minorHAnsi"/>
              </w:rPr>
            </w:pPr>
            <w:r>
              <w:rPr>
                <w:rFonts w:cstheme="minorHAnsi"/>
              </w:rPr>
              <w:t>Front Office Operations</w:t>
            </w:r>
          </w:p>
        </w:tc>
        <w:tc>
          <w:tcPr>
            <w:tcW w:w="1080" w:type="dxa"/>
            <w:vAlign w:val="center"/>
          </w:tcPr>
          <w:p w:rsidR="0048071B" w:rsidRPr="00E34114" w:rsidRDefault="0048071B" w:rsidP="0048071B">
            <w:pPr>
              <w:jc w:val="center"/>
              <w:rPr>
                <w:rFonts w:cstheme="minorHAnsi"/>
              </w:rPr>
            </w:pPr>
            <w:r w:rsidRPr="00E34114">
              <w:rPr>
                <w:rFonts w:cstheme="minorHAnsi"/>
              </w:rPr>
              <w:t>2</w:t>
            </w:r>
          </w:p>
        </w:tc>
        <w:tc>
          <w:tcPr>
            <w:tcW w:w="1350" w:type="dxa"/>
            <w:vAlign w:val="center"/>
          </w:tcPr>
          <w:p w:rsidR="0048071B" w:rsidRPr="00E34114" w:rsidRDefault="00087866" w:rsidP="0048071B">
            <w:pPr>
              <w:pStyle w:val="NoSpacing"/>
              <w:rPr>
                <w:rFonts w:cstheme="minorHAnsi"/>
              </w:rPr>
            </w:pPr>
            <w:r>
              <w:rPr>
                <w:rFonts w:cstheme="minorHAnsi"/>
              </w:rPr>
              <w:t>Face to face</w:t>
            </w:r>
          </w:p>
        </w:tc>
        <w:tc>
          <w:tcPr>
            <w:tcW w:w="1440" w:type="dxa"/>
            <w:vAlign w:val="center"/>
          </w:tcPr>
          <w:p w:rsidR="0048071B" w:rsidRPr="00E34114" w:rsidRDefault="0048071B" w:rsidP="0048071B">
            <w:pPr>
              <w:rPr>
                <w:rFonts w:cstheme="minorHAnsi"/>
              </w:rPr>
            </w:pPr>
            <w:proofErr w:type="spellStart"/>
            <w:r>
              <w:rPr>
                <w:rFonts w:cstheme="minorHAnsi"/>
              </w:rPr>
              <w:t>Laucala</w:t>
            </w:r>
            <w:proofErr w:type="spellEnd"/>
            <w:r>
              <w:rPr>
                <w:rFonts w:cstheme="minorHAnsi"/>
              </w:rPr>
              <w:t>/Nadi</w:t>
            </w:r>
          </w:p>
        </w:tc>
        <w:tc>
          <w:tcPr>
            <w:tcW w:w="833" w:type="dxa"/>
            <w:vAlign w:val="center"/>
          </w:tcPr>
          <w:p w:rsidR="0048071B" w:rsidRPr="00E34114" w:rsidRDefault="0048071B" w:rsidP="0048071B">
            <w:pPr>
              <w:pStyle w:val="NoSpacing"/>
              <w:rPr>
                <w:rFonts w:cstheme="minorHAnsi"/>
              </w:rPr>
            </w:pPr>
            <w:r>
              <w:rPr>
                <w:rFonts w:cstheme="minorHAnsi"/>
              </w:rPr>
              <w:t>$950</w:t>
            </w:r>
          </w:p>
        </w:tc>
      </w:tr>
    </w:tbl>
    <w:p w:rsidR="007316AF" w:rsidRPr="00FB2D27" w:rsidRDefault="007316AF" w:rsidP="001712DB">
      <w:pPr>
        <w:spacing w:after="0" w:line="240" w:lineRule="auto"/>
        <w:rPr>
          <w:rFonts w:cstheme="minorHAnsi"/>
          <w:b/>
          <w:color w:val="000000"/>
          <w:sz w:val="16"/>
          <w:szCs w:val="16"/>
        </w:rPr>
      </w:pPr>
    </w:p>
    <w:p w:rsidR="001712DB" w:rsidRPr="00E34114" w:rsidRDefault="00E208A3" w:rsidP="001712DB">
      <w:pPr>
        <w:spacing w:after="0" w:line="240" w:lineRule="auto"/>
        <w:rPr>
          <w:rFonts w:cstheme="minorHAnsi"/>
          <w:b/>
          <w:color w:val="000000"/>
        </w:rPr>
      </w:pPr>
      <w:r w:rsidRPr="00E34114">
        <w:rPr>
          <w:rFonts w:cstheme="minorHAnsi"/>
          <w:b/>
          <w:color w:val="000000"/>
        </w:rPr>
        <w:t>ASSESSMENT</w:t>
      </w:r>
    </w:p>
    <w:p w:rsidR="00E208A3" w:rsidRPr="00E34114" w:rsidRDefault="00E208A3" w:rsidP="001712DB">
      <w:pPr>
        <w:spacing w:after="0" w:line="240" w:lineRule="auto"/>
        <w:rPr>
          <w:rFonts w:cstheme="minorHAnsi"/>
        </w:rPr>
      </w:pPr>
      <w:r w:rsidRPr="00E34114">
        <w:rPr>
          <w:rFonts w:cstheme="minorHAnsi"/>
        </w:rPr>
        <w:t>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w:t>
      </w:r>
    </w:p>
    <w:p w:rsidR="00CF308F" w:rsidRPr="00E34114" w:rsidRDefault="00CF308F" w:rsidP="001712DB">
      <w:pPr>
        <w:spacing w:after="0" w:line="240" w:lineRule="auto"/>
        <w:rPr>
          <w:rFonts w:cstheme="minorHAnsi"/>
          <w:b/>
          <w:color w:val="000000"/>
        </w:rPr>
      </w:pPr>
    </w:p>
    <w:p w:rsidR="00E208A3" w:rsidRPr="00E34114" w:rsidRDefault="00E208A3" w:rsidP="00E208A3">
      <w:pPr>
        <w:widowControl w:val="0"/>
        <w:autoSpaceDE w:val="0"/>
        <w:autoSpaceDN w:val="0"/>
        <w:adjustRightInd w:val="0"/>
        <w:spacing w:after="0" w:line="240" w:lineRule="auto"/>
        <w:jc w:val="both"/>
        <w:rPr>
          <w:rFonts w:cstheme="minorHAnsi"/>
          <w:b/>
          <w:color w:val="000000"/>
        </w:rPr>
      </w:pPr>
      <w:r w:rsidRPr="00E34114">
        <w:rPr>
          <w:rFonts w:cstheme="minorHAnsi"/>
          <w:b/>
          <w:color w:val="000000"/>
        </w:rPr>
        <w:t>RECOGNITION OF PRIOR LEARNING</w:t>
      </w:r>
    </w:p>
    <w:p w:rsidR="00E208A3" w:rsidRPr="00E34114" w:rsidRDefault="00E208A3" w:rsidP="00E208A3">
      <w:pPr>
        <w:spacing w:line="240" w:lineRule="auto"/>
        <w:jc w:val="both"/>
        <w:rPr>
          <w:rFonts w:cstheme="minorHAnsi"/>
        </w:rPr>
      </w:pPr>
      <w:r w:rsidRPr="00E34114">
        <w:rPr>
          <w:rFonts w:cstheme="minorHAnsi"/>
        </w:rP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w:t>
      </w:r>
      <w:r w:rsidR="00723AB6" w:rsidRPr="00E34114">
        <w:rPr>
          <w:rFonts w:cstheme="minorHAnsi"/>
        </w:rPr>
        <w:t xml:space="preserve">Student may apply for RPL with $100 application fee when enrolling for the programme.  </w:t>
      </w:r>
    </w:p>
    <w:p w:rsidR="00E208A3" w:rsidRPr="00E34114" w:rsidRDefault="00E208A3" w:rsidP="00E208A3">
      <w:pPr>
        <w:widowControl w:val="0"/>
        <w:autoSpaceDE w:val="0"/>
        <w:autoSpaceDN w:val="0"/>
        <w:adjustRightInd w:val="0"/>
        <w:spacing w:after="0" w:line="240" w:lineRule="auto"/>
        <w:jc w:val="both"/>
        <w:rPr>
          <w:rFonts w:cstheme="minorHAnsi"/>
          <w:b/>
          <w:color w:val="000000"/>
        </w:rPr>
      </w:pPr>
      <w:r w:rsidRPr="00E34114">
        <w:rPr>
          <w:rFonts w:cstheme="minorHAnsi"/>
          <w:b/>
          <w:color w:val="000000"/>
        </w:rPr>
        <w:t>CREDIT TRANSFER</w:t>
      </w:r>
    </w:p>
    <w:p w:rsidR="00E208A3" w:rsidRPr="00E34114" w:rsidRDefault="00E208A3" w:rsidP="00E208A3">
      <w:pPr>
        <w:spacing w:line="240" w:lineRule="auto"/>
        <w:jc w:val="both"/>
        <w:rPr>
          <w:rFonts w:cstheme="minorHAnsi"/>
        </w:rPr>
      </w:pPr>
      <w:r w:rsidRPr="00E34114">
        <w:rPr>
          <w:rFonts w:cstheme="minorHAnsi"/>
        </w:rPr>
        <w:t xml:space="preserve">Do you already have a qualification, statements of attainment or academic statements for courses completed at another recognised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E208A3" w:rsidRPr="00E34114" w:rsidRDefault="00E208A3" w:rsidP="00E208A3">
      <w:pPr>
        <w:widowControl w:val="0"/>
        <w:autoSpaceDE w:val="0"/>
        <w:autoSpaceDN w:val="0"/>
        <w:adjustRightInd w:val="0"/>
        <w:spacing w:after="0" w:line="240" w:lineRule="auto"/>
        <w:jc w:val="both"/>
        <w:rPr>
          <w:rFonts w:cstheme="minorHAnsi"/>
          <w:b/>
          <w:color w:val="000000"/>
        </w:rPr>
      </w:pPr>
      <w:r w:rsidRPr="00E34114">
        <w:rPr>
          <w:rFonts w:cstheme="minorHAnsi"/>
          <w:b/>
          <w:color w:val="000000"/>
        </w:rPr>
        <w:t>EXIT POINTS</w:t>
      </w:r>
    </w:p>
    <w:p w:rsidR="00E208A3" w:rsidRPr="00E34114" w:rsidRDefault="00E208A3" w:rsidP="00E208A3">
      <w:pPr>
        <w:spacing w:line="240" w:lineRule="auto"/>
        <w:jc w:val="both"/>
        <w:rPr>
          <w:rFonts w:cstheme="minorHAnsi"/>
        </w:rPr>
      </w:pPr>
      <w:r w:rsidRPr="00E34114">
        <w:rPr>
          <w:rFonts w:cstheme="minorHAnsi"/>
        </w:rPr>
        <w:t xml:space="preserve">You may exit from this qualification and receive a Statement of Attainment for courses you have successfully completed. </w:t>
      </w:r>
    </w:p>
    <w:p w:rsidR="00E208A3" w:rsidRPr="00E34114" w:rsidRDefault="00E208A3" w:rsidP="00E208A3">
      <w:pPr>
        <w:pStyle w:val="NoSpacing"/>
        <w:jc w:val="both"/>
        <w:rPr>
          <w:rFonts w:cstheme="minorHAnsi"/>
          <w:b/>
        </w:rPr>
      </w:pPr>
      <w:r w:rsidRPr="00E34114">
        <w:rPr>
          <w:rFonts w:cstheme="minorHAnsi"/>
          <w:b/>
        </w:rPr>
        <w:t>LEARNING RESOURCES &amp; SUPPORT SERVICES</w:t>
      </w:r>
    </w:p>
    <w:p w:rsidR="00E208A3" w:rsidRPr="00E34114" w:rsidRDefault="00E208A3" w:rsidP="00E208A3">
      <w:pPr>
        <w:spacing w:after="0" w:line="240" w:lineRule="auto"/>
        <w:jc w:val="both"/>
        <w:rPr>
          <w:rFonts w:cstheme="minorHAnsi"/>
        </w:rPr>
      </w:pPr>
      <w:r w:rsidRPr="00E34114">
        <w:rPr>
          <w:rFonts w:cstheme="minorHAnsi"/>
        </w:rPr>
        <w:t>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w:t>
      </w:r>
    </w:p>
    <w:p w:rsidR="00E208A3" w:rsidRPr="00E34114" w:rsidRDefault="00E208A3" w:rsidP="006319B1">
      <w:pPr>
        <w:spacing w:after="0" w:line="240" w:lineRule="auto"/>
        <w:rPr>
          <w:rFonts w:cstheme="minorHAnsi"/>
        </w:rPr>
      </w:pPr>
      <w:r w:rsidRPr="00E34114">
        <w:rPr>
          <w:rFonts w:cstheme="minorHAnsi"/>
        </w:rPr>
        <w:t>The courses will have online learning support using Moodle (</w:t>
      </w:r>
      <w:hyperlink r:id="rId9" w:history="1">
        <w:r w:rsidRPr="00E34114">
          <w:rPr>
            <w:rStyle w:val="Hyperlink"/>
            <w:rFonts w:cstheme="minorHAnsi"/>
          </w:rPr>
          <w:t>http://elearn.usp.ac.fj</w:t>
        </w:r>
      </w:hyperlink>
      <w:r w:rsidR="006319B1">
        <w:rPr>
          <w:rFonts w:cstheme="minorHAnsi"/>
        </w:rPr>
        <w:t>).</w:t>
      </w:r>
    </w:p>
    <w:p w:rsidR="00E208A3" w:rsidRPr="00E34114" w:rsidRDefault="00E208A3" w:rsidP="00E208A3">
      <w:pPr>
        <w:pStyle w:val="NoSpacing"/>
        <w:jc w:val="both"/>
        <w:rPr>
          <w:rFonts w:cstheme="minorHAnsi"/>
          <w:b/>
          <w:sz w:val="16"/>
          <w:szCs w:val="16"/>
        </w:rPr>
      </w:pPr>
    </w:p>
    <w:p w:rsidR="00E208A3" w:rsidRPr="00E34114" w:rsidRDefault="00E208A3" w:rsidP="00E208A3">
      <w:pPr>
        <w:pStyle w:val="NoSpacing"/>
        <w:jc w:val="both"/>
        <w:rPr>
          <w:rFonts w:cstheme="minorHAnsi"/>
          <w:b/>
        </w:rPr>
      </w:pPr>
      <w:r w:rsidRPr="00E34114">
        <w:rPr>
          <w:rFonts w:cstheme="minorHAnsi"/>
          <w:b/>
        </w:rPr>
        <w:t xml:space="preserve">USP’S OBLIGATIONS, STUDENTS’ RIGHTS </w:t>
      </w:r>
    </w:p>
    <w:p w:rsidR="00E208A3" w:rsidRPr="00E34114" w:rsidRDefault="00E208A3" w:rsidP="00E208A3">
      <w:pPr>
        <w:widowControl w:val="0"/>
        <w:autoSpaceDE w:val="0"/>
        <w:autoSpaceDN w:val="0"/>
        <w:adjustRightInd w:val="0"/>
        <w:spacing w:after="0" w:line="240" w:lineRule="auto"/>
        <w:jc w:val="both"/>
        <w:rPr>
          <w:rFonts w:cstheme="minorHAnsi"/>
        </w:rPr>
      </w:pPr>
      <w:r w:rsidRPr="00E34114">
        <w:rPr>
          <w:rFonts w:cstheme="minorHAnsi"/>
        </w:rPr>
        <w:t>USP is committed to maintaining the quality of training and assessment to students in compliance with the “Standards for RTOs 2015” and for the issuance of AQF certification documentation, providing both an excellent educati</w:t>
      </w:r>
      <w:r w:rsidR="00A24FD9" w:rsidRPr="00E34114">
        <w:rPr>
          <w:rFonts w:cstheme="minorHAnsi"/>
        </w:rPr>
        <w:t>on and experience for students.</w:t>
      </w:r>
    </w:p>
    <w:p w:rsidR="00E208A3" w:rsidRPr="00E34114" w:rsidRDefault="00E208A3" w:rsidP="00E208A3">
      <w:pPr>
        <w:widowControl w:val="0"/>
        <w:autoSpaceDE w:val="0"/>
        <w:autoSpaceDN w:val="0"/>
        <w:adjustRightInd w:val="0"/>
        <w:spacing w:after="0" w:line="240" w:lineRule="auto"/>
        <w:jc w:val="both"/>
        <w:rPr>
          <w:rFonts w:cstheme="minorHAnsi"/>
        </w:rPr>
      </w:pPr>
      <w:r w:rsidRPr="00E34114">
        <w:rPr>
          <w:rFonts w:cstheme="minorHAnsi"/>
        </w:rPr>
        <w:t xml:space="preserve">Students enrolled in a course will automatically become members of the USP Students’ Association. Moreover, students can file their complaints and appeals by filling in Pacific TAFE’s Student Complaint Form, which has a redress period of three (3) days. </w:t>
      </w:r>
    </w:p>
    <w:p w:rsidR="00E208A3" w:rsidRPr="00E34114" w:rsidRDefault="00E208A3" w:rsidP="00E208A3">
      <w:pPr>
        <w:widowControl w:val="0"/>
        <w:autoSpaceDE w:val="0"/>
        <w:autoSpaceDN w:val="0"/>
        <w:adjustRightInd w:val="0"/>
        <w:spacing w:after="0" w:line="240" w:lineRule="auto"/>
        <w:jc w:val="both"/>
        <w:rPr>
          <w:rFonts w:cstheme="minorHAnsi"/>
          <w:color w:val="000000"/>
          <w:sz w:val="16"/>
          <w:szCs w:val="16"/>
        </w:rPr>
      </w:pPr>
    </w:p>
    <w:p w:rsidR="00E208A3" w:rsidRPr="00E34114" w:rsidRDefault="00E208A3" w:rsidP="00E208A3">
      <w:pPr>
        <w:widowControl w:val="0"/>
        <w:autoSpaceDE w:val="0"/>
        <w:autoSpaceDN w:val="0"/>
        <w:adjustRightInd w:val="0"/>
        <w:spacing w:after="0" w:line="240" w:lineRule="auto"/>
        <w:jc w:val="both"/>
        <w:rPr>
          <w:rFonts w:cstheme="minorHAnsi"/>
          <w:b/>
          <w:color w:val="000000"/>
        </w:rPr>
      </w:pPr>
      <w:r w:rsidRPr="00E34114">
        <w:rPr>
          <w:rFonts w:cstheme="minorHAnsi"/>
          <w:b/>
          <w:color w:val="000000"/>
        </w:rPr>
        <w:t xml:space="preserve">FOR MORE </w:t>
      </w:r>
      <w:proofErr w:type="gramStart"/>
      <w:r w:rsidRPr="00E34114">
        <w:rPr>
          <w:rFonts w:cstheme="minorHAnsi"/>
          <w:b/>
          <w:color w:val="000000"/>
        </w:rPr>
        <w:t>INFORMATION</w:t>
      </w:r>
      <w:proofErr w:type="gramEnd"/>
      <w:r w:rsidRPr="00E34114">
        <w:rPr>
          <w:rFonts w:cstheme="minorHAnsi"/>
          <w:b/>
          <w:color w:val="000000"/>
        </w:rPr>
        <w:t xml:space="preserve"> CONTACT:</w:t>
      </w:r>
    </w:p>
    <w:p w:rsidR="00E208A3" w:rsidRPr="00E34114" w:rsidRDefault="00E208A3" w:rsidP="00E208A3">
      <w:pPr>
        <w:widowControl w:val="0"/>
        <w:tabs>
          <w:tab w:val="center" w:pos="4513"/>
        </w:tabs>
        <w:autoSpaceDE w:val="0"/>
        <w:autoSpaceDN w:val="0"/>
        <w:adjustRightInd w:val="0"/>
        <w:spacing w:after="0" w:line="240" w:lineRule="auto"/>
        <w:jc w:val="both"/>
        <w:rPr>
          <w:rFonts w:cstheme="minorHAnsi"/>
          <w:b/>
          <w:color w:val="000000"/>
        </w:rPr>
      </w:pPr>
      <w:r w:rsidRPr="00E34114">
        <w:rPr>
          <w:rFonts w:cstheme="minorHAnsi"/>
          <w:color w:val="000000"/>
        </w:rPr>
        <w:t>Customer Service Centre</w:t>
      </w:r>
      <w:r w:rsidRPr="00E34114">
        <w:rPr>
          <w:rFonts w:cstheme="minorHAnsi"/>
          <w:color w:val="000000"/>
        </w:rPr>
        <w:tab/>
      </w:r>
      <w:r w:rsidRPr="00E34114">
        <w:rPr>
          <w:rFonts w:cstheme="minorHAnsi"/>
          <w:color w:val="000000"/>
        </w:rPr>
        <w:tab/>
      </w:r>
      <w:r w:rsidRPr="00E34114">
        <w:rPr>
          <w:rFonts w:cstheme="minorHAnsi"/>
          <w:color w:val="000000"/>
        </w:rPr>
        <w:tab/>
      </w:r>
    </w:p>
    <w:p w:rsidR="00E208A3" w:rsidRPr="00E34114" w:rsidRDefault="00E208A3" w:rsidP="00E208A3">
      <w:pPr>
        <w:widowControl w:val="0"/>
        <w:autoSpaceDE w:val="0"/>
        <w:autoSpaceDN w:val="0"/>
        <w:adjustRightInd w:val="0"/>
        <w:spacing w:after="0" w:line="240" w:lineRule="auto"/>
        <w:jc w:val="both"/>
        <w:rPr>
          <w:rFonts w:cstheme="minorHAnsi"/>
          <w:color w:val="000000"/>
        </w:rPr>
      </w:pPr>
      <w:r w:rsidRPr="00E34114">
        <w:rPr>
          <w:rFonts w:cstheme="minorHAnsi"/>
          <w:color w:val="000000"/>
        </w:rPr>
        <w:t>Phone: 3231223/3231224</w:t>
      </w:r>
      <w:r w:rsidR="00974D00" w:rsidRPr="00E34114">
        <w:rPr>
          <w:rFonts w:cstheme="minorHAnsi"/>
          <w:color w:val="000000"/>
        </w:rPr>
        <w:t>/3231870</w:t>
      </w:r>
      <w:r w:rsidRPr="00E34114">
        <w:rPr>
          <w:rFonts w:cstheme="minorHAnsi"/>
          <w:color w:val="000000"/>
        </w:rPr>
        <w:t xml:space="preserve"> </w:t>
      </w:r>
      <w:r w:rsidRPr="00E34114">
        <w:rPr>
          <w:rFonts w:cstheme="minorHAnsi"/>
          <w:color w:val="000000"/>
        </w:rPr>
        <w:tab/>
      </w:r>
      <w:r w:rsidRPr="00E34114">
        <w:rPr>
          <w:rFonts w:cstheme="minorHAnsi"/>
          <w:color w:val="000000"/>
        </w:rPr>
        <w:tab/>
      </w:r>
      <w:r w:rsidRPr="00E34114">
        <w:rPr>
          <w:rFonts w:cstheme="minorHAnsi"/>
          <w:color w:val="000000"/>
        </w:rPr>
        <w:tab/>
      </w:r>
      <w:r w:rsidRPr="00E34114">
        <w:rPr>
          <w:rFonts w:cstheme="minorHAnsi"/>
          <w:color w:val="000000"/>
        </w:rPr>
        <w:tab/>
      </w:r>
      <w:r w:rsidRPr="00E34114">
        <w:rPr>
          <w:rFonts w:cstheme="minorHAnsi"/>
          <w:color w:val="000000"/>
        </w:rPr>
        <w:tab/>
      </w:r>
    </w:p>
    <w:p w:rsidR="00E208A3" w:rsidRPr="00E34114" w:rsidRDefault="00E208A3" w:rsidP="00E208A3">
      <w:pPr>
        <w:widowControl w:val="0"/>
        <w:autoSpaceDE w:val="0"/>
        <w:autoSpaceDN w:val="0"/>
        <w:adjustRightInd w:val="0"/>
        <w:spacing w:after="0" w:line="240" w:lineRule="auto"/>
        <w:jc w:val="both"/>
        <w:rPr>
          <w:rFonts w:cstheme="minorHAnsi"/>
          <w:color w:val="000000"/>
        </w:rPr>
      </w:pPr>
      <w:r w:rsidRPr="00E34114">
        <w:rPr>
          <w:rFonts w:cstheme="minorHAnsi"/>
          <w:color w:val="000000"/>
        </w:rPr>
        <w:t xml:space="preserve">Email: </w:t>
      </w:r>
      <w:hyperlink r:id="rId10" w:history="1">
        <w:r w:rsidRPr="00E34114">
          <w:rPr>
            <w:rStyle w:val="Hyperlink"/>
            <w:rFonts w:cstheme="minorHAnsi"/>
          </w:rPr>
          <w:t>pacifictafe@usp.ac.fj</w:t>
        </w:r>
      </w:hyperlink>
      <w:r w:rsidRPr="00E34114">
        <w:rPr>
          <w:rFonts w:cstheme="minorHAnsi"/>
          <w:color w:val="000000"/>
        </w:rPr>
        <w:tab/>
      </w:r>
      <w:r w:rsidRPr="00E34114">
        <w:rPr>
          <w:rFonts w:cstheme="minorHAnsi"/>
          <w:color w:val="000000"/>
        </w:rPr>
        <w:tab/>
      </w:r>
      <w:r w:rsidRPr="00E34114">
        <w:rPr>
          <w:rFonts w:cstheme="minorHAnsi"/>
          <w:color w:val="000000"/>
        </w:rPr>
        <w:tab/>
      </w:r>
      <w:r w:rsidRPr="00E34114">
        <w:rPr>
          <w:rFonts w:cstheme="minorHAnsi"/>
          <w:color w:val="000000"/>
        </w:rPr>
        <w:tab/>
      </w:r>
      <w:r w:rsidRPr="00E34114">
        <w:rPr>
          <w:rFonts w:cstheme="minorHAnsi"/>
          <w:color w:val="000000"/>
        </w:rPr>
        <w:tab/>
      </w:r>
      <w:r w:rsidRPr="00E34114">
        <w:rPr>
          <w:rFonts w:cstheme="minorHAnsi"/>
          <w:color w:val="000000"/>
        </w:rPr>
        <w:tab/>
      </w:r>
    </w:p>
    <w:p w:rsidR="005E35DC" w:rsidRPr="00E34114" w:rsidRDefault="00E208A3" w:rsidP="00E208A3">
      <w:pPr>
        <w:widowControl w:val="0"/>
        <w:autoSpaceDE w:val="0"/>
        <w:autoSpaceDN w:val="0"/>
        <w:adjustRightInd w:val="0"/>
        <w:spacing w:after="0" w:line="240" w:lineRule="auto"/>
        <w:jc w:val="both"/>
        <w:rPr>
          <w:rFonts w:cstheme="minorHAnsi"/>
          <w:b/>
          <w:color w:val="000000"/>
        </w:rPr>
      </w:pPr>
      <w:r w:rsidRPr="00E34114">
        <w:rPr>
          <w:rFonts w:cstheme="minorHAnsi"/>
          <w:color w:val="000000"/>
        </w:rPr>
        <w:t xml:space="preserve">Website: </w:t>
      </w:r>
      <w:hyperlink r:id="rId11" w:history="1">
        <w:r w:rsidRPr="00E34114">
          <w:rPr>
            <w:rStyle w:val="Hyperlink"/>
            <w:rFonts w:cstheme="minorHAnsi"/>
          </w:rPr>
          <w:t>www.usp.ac.fj/pacifictafe</w:t>
        </w:r>
      </w:hyperlink>
    </w:p>
    <w:sectPr w:rsidR="005E35DC" w:rsidRPr="00E34114" w:rsidSect="009A46BE">
      <w:footerReference w:type="default" r:id="rId12"/>
      <w:pgSz w:w="11907" w:h="16839" w:code="9"/>
      <w:pgMar w:top="360" w:right="1197"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F4" w:rsidRDefault="00661CF4" w:rsidP="00BA2115">
      <w:pPr>
        <w:spacing w:after="0" w:line="240" w:lineRule="auto"/>
      </w:pPr>
      <w:r>
        <w:separator/>
      </w:r>
    </w:p>
  </w:endnote>
  <w:endnote w:type="continuationSeparator" w:id="0">
    <w:p w:rsidR="00661CF4" w:rsidRDefault="00661CF4" w:rsidP="00BA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63560"/>
      <w:docPartObj>
        <w:docPartGallery w:val="Page Numbers (Bottom of Page)"/>
        <w:docPartUnique/>
      </w:docPartObj>
    </w:sdtPr>
    <w:sdtEndPr>
      <w:rPr>
        <w:noProof/>
      </w:rPr>
    </w:sdtEndPr>
    <w:sdtContent>
      <w:p w:rsidR="00BA2115" w:rsidRDefault="00584CF4">
        <w:pPr>
          <w:pStyle w:val="Footer"/>
          <w:jc w:val="center"/>
        </w:pPr>
        <w:r>
          <w:fldChar w:fldCharType="begin"/>
        </w:r>
        <w:r w:rsidR="00BA2115">
          <w:instrText xml:space="preserve"> PAGE   \* MERGEFORMAT </w:instrText>
        </w:r>
        <w:r>
          <w:fldChar w:fldCharType="separate"/>
        </w:r>
        <w:r w:rsidR="00B74ABD">
          <w:rPr>
            <w:noProof/>
          </w:rPr>
          <w:t>2</w:t>
        </w:r>
        <w:r>
          <w:rPr>
            <w:noProof/>
          </w:rPr>
          <w:fldChar w:fldCharType="end"/>
        </w:r>
      </w:p>
    </w:sdtContent>
  </w:sdt>
  <w:p w:rsidR="00BA2115" w:rsidRDefault="00BA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F4" w:rsidRDefault="00661CF4" w:rsidP="00BA2115">
      <w:pPr>
        <w:spacing w:after="0" w:line="240" w:lineRule="auto"/>
      </w:pPr>
      <w:r>
        <w:separator/>
      </w:r>
    </w:p>
  </w:footnote>
  <w:footnote w:type="continuationSeparator" w:id="0">
    <w:p w:rsidR="00661CF4" w:rsidRDefault="00661CF4" w:rsidP="00BA2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830"/>
    <w:multiLevelType w:val="hybridMultilevel"/>
    <w:tmpl w:val="D528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5152"/>
    <w:multiLevelType w:val="hybridMultilevel"/>
    <w:tmpl w:val="59A0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120A"/>
    <w:multiLevelType w:val="hybridMultilevel"/>
    <w:tmpl w:val="5DF0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D3D4A"/>
    <w:multiLevelType w:val="hybridMultilevel"/>
    <w:tmpl w:val="2686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9405B"/>
    <w:multiLevelType w:val="hybridMultilevel"/>
    <w:tmpl w:val="5152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86C0C"/>
    <w:multiLevelType w:val="hybridMultilevel"/>
    <w:tmpl w:val="D3E8E79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25A32353"/>
    <w:multiLevelType w:val="hybridMultilevel"/>
    <w:tmpl w:val="0AD6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97FFE"/>
    <w:multiLevelType w:val="hybridMultilevel"/>
    <w:tmpl w:val="EBD25790"/>
    <w:lvl w:ilvl="0" w:tplc="5ECAE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160C3"/>
    <w:multiLevelType w:val="hybridMultilevel"/>
    <w:tmpl w:val="BEE2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7565"/>
    <w:multiLevelType w:val="hybridMultilevel"/>
    <w:tmpl w:val="F0A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052F5"/>
    <w:multiLevelType w:val="hybridMultilevel"/>
    <w:tmpl w:val="7E60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4022D"/>
    <w:multiLevelType w:val="hybridMultilevel"/>
    <w:tmpl w:val="5126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A06C3"/>
    <w:multiLevelType w:val="hybridMultilevel"/>
    <w:tmpl w:val="473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85DA5"/>
    <w:multiLevelType w:val="hybridMultilevel"/>
    <w:tmpl w:val="999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3036C"/>
    <w:multiLevelType w:val="hybridMultilevel"/>
    <w:tmpl w:val="FEEC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33308"/>
    <w:multiLevelType w:val="hybridMultilevel"/>
    <w:tmpl w:val="E8DC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50A41"/>
    <w:multiLevelType w:val="hybridMultilevel"/>
    <w:tmpl w:val="6870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6335B"/>
    <w:multiLevelType w:val="hybridMultilevel"/>
    <w:tmpl w:val="D10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034B7"/>
    <w:multiLevelType w:val="hybridMultilevel"/>
    <w:tmpl w:val="08C2427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591CAB"/>
    <w:multiLevelType w:val="hybridMultilevel"/>
    <w:tmpl w:val="3F9A4D76"/>
    <w:lvl w:ilvl="0" w:tplc="2BEEB59A">
      <w:start w:val="1"/>
      <w:numFmt w:val="lowerLetter"/>
      <w:lvlText w:val="%1."/>
      <w:lvlJc w:val="left"/>
      <w:pPr>
        <w:ind w:left="720" w:hanging="360"/>
      </w:pPr>
      <w:rPr>
        <w:rFonts w:asciiTheme="minorHAnsi" w:eastAsiaTheme="minorEastAsia"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70D7C"/>
    <w:multiLevelType w:val="hybridMultilevel"/>
    <w:tmpl w:val="226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21E8A"/>
    <w:multiLevelType w:val="hybridMultilevel"/>
    <w:tmpl w:val="B1A2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607BE"/>
    <w:multiLevelType w:val="hybridMultilevel"/>
    <w:tmpl w:val="4DDA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2"/>
  </w:num>
  <w:num w:numId="4">
    <w:abstractNumId w:val="13"/>
  </w:num>
  <w:num w:numId="5">
    <w:abstractNumId w:val="9"/>
  </w:num>
  <w:num w:numId="6">
    <w:abstractNumId w:val="0"/>
  </w:num>
  <w:num w:numId="7">
    <w:abstractNumId w:val="10"/>
  </w:num>
  <w:num w:numId="8">
    <w:abstractNumId w:val="21"/>
  </w:num>
  <w:num w:numId="9">
    <w:abstractNumId w:val="16"/>
  </w:num>
  <w:num w:numId="10">
    <w:abstractNumId w:val="8"/>
  </w:num>
  <w:num w:numId="11">
    <w:abstractNumId w:val="11"/>
  </w:num>
  <w:num w:numId="12">
    <w:abstractNumId w:val="20"/>
  </w:num>
  <w:num w:numId="13">
    <w:abstractNumId w:val="12"/>
  </w:num>
  <w:num w:numId="14">
    <w:abstractNumId w:val="1"/>
  </w:num>
  <w:num w:numId="15">
    <w:abstractNumId w:val="3"/>
  </w:num>
  <w:num w:numId="16">
    <w:abstractNumId w:val="18"/>
  </w:num>
  <w:num w:numId="17">
    <w:abstractNumId w:val="14"/>
  </w:num>
  <w:num w:numId="18">
    <w:abstractNumId w:val="4"/>
  </w:num>
  <w:num w:numId="19">
    <w:abstractNumId w:val="15"/>
  </w:num>
  <w:num w:numId="20">
    <w:abstractNumId w:val="2"/>
  </w:num>
  <w:num w:numId="21">
    <w:abstractNumId w:val="19"/>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E1"/>
    <w:rsid w:val="00005BA0"/>
    <w:rsid w:val="00017EB6"/>
    <w:rsid w:val="000228A0"/>
    <w:rsid w:val="000241D6"/>
    <w:rsid w:val="0003709F"/>
    <w:rsid w:val="00055399"/>
    <w:rsid w:val="00057126"/>
    <w:rsid w:val="000645D9"/>
    <w:rsid w:val="00073F12"/>
    <w:rsid w:val="000830B7"/>
    <w:rsid w:val="00087866"/>
    <w:rsid w:val="000956B1"/>
    <w:rsid w:val="000A165C"/>
    <w:rsid w:val="000A5EEA"/>
    <w:rsid w:val="000B48FC"/>
    <w:rsid w:val="000B6541"/>
    <w:rsid w:val="000C09D4"/>
    <w:rsid w:val="000D16D6"/>
    <w:rsid w:val="000E0564"/>
    <w:rsid w:val="000E073E"/>
    <w:rsid w:val="000F1556"/>
    <w:rsid w:val="00110F1C"/>
    <w:rsid w:val="0011612E"/>
    <w:rsid w:val="001271B1"/>
    <w:rsid w:val="00137E3F"/>
    <w:rsid w:val="00154315"/>
    <w:rsid w:val="00162B4B"/>
    <w:rsid w:val="00165694"/>
    <w:rsid w:val="001712DB"/>
    <w:rsid w:val="0018333E"/>
    <w:rsid w:val="001944A4"/>
    <w:rsid w:val="001A17B1"/>
    <w:rsid w:val="001A4BB5"/>
    <w:rsid w:val="001B2875"/>
    <w:rsid w:val="001E06C1"/>
    <w:rsid w:val="001F4FD5"/>
    <w:rsid w:val="002264AC"/>
    <w:rsid w:val="00227C80"/>
    <w:rsid w:val="00230979"/>
    <w:rsid w:val="0024352F"/>
    <w:rsid w:val="00256569"/>
    <w:rsid w:val="00260B24"/>
    <w:rsid w:val="00277FC3"/>
    <w:rsid w:val="00282711"/>
    <w:rsid w:val="00282B3C"/>
    <w:rsid w:val="002A76F7"/>
    <w:rsid w:val="002B407C"/>
    <w:rsid w:val="002C4B26"/>
    <w:rsid w:val="002D37C1"/>
    <w:rsid w:val="002D78E1"/>
    <w:rsid w:val="002E442F"/>
    <w:rsid w:val="002E562C"/>
    <w:rsid w:val="00306367"/>
    <w:rsid w:val="00324432"/>
    <w:rsid w:val="00342FD6"/>
    <w:rsid w:val="0035036B"/>
    <w:rsid w:val="00355453"/>
    <w:rsid w:val="00361DB3"/>
    <w:rsid w:val="003763DA"/>
    <w:rsid w:val="00380548"/>
    <w:rsid w:val="003907D0"/>
    <w:rsid w:val="003937EF"/>
    <w:rsid w:val="003A4C83"/>
    <w:rsid w:val="003C5A35"/>
    <w:rsid w:val="003D5BBE"/>
    <w:rsid w:val="003E0788"/>
    <w:rsid w:val="003E6C09"/>
    <w:rsid w:val="003F16C6"/>
    <w:rsid w:val="003F61B3"/>
    <w:rsid w:val="00420750"/>
    <w:rsid w:val="004236C9"/>
    <w:rsid w:val="0042606A"/>
    <w:rsid w:val="004571CC"/>
    <w:rsid w:val="0046104B"/>
    <w:rsid w:val="00472635"/>
    <w:rsid w:val="0048071B"/>
    <w:rsid w:val="00493971"/>
    <w:rsid w:val="004A0463"/>
    <w:rsid w:val="004B26A6"/>
    <w:rsid w:val="004B289B"/>
    <w:rsid w:val="004B3814"/>
    <w:rsid w:val="00521EF3"/>
    <w:rsid w:val="005240E7"/>
    <w:rsid w:val="00531172"/>
    <w:rsid w:val="00533190"/>
    <w:rsid w:val="005664D9"/>
    <w:rsid w:val="00573BC5"/>
    <w:rsid w:val="00584CF4"/>
    <w:rsid w:val="00594161"/>
    <w:rsid w:val="005B394C"/>
    <w:rsid w:val="005B61FE"/>
    <w:rsid w:val="005C47E1"/>
    <w:rsid w:val="005D5F41"/>
    <w:rsid w:val="005E35DC"/>
    <w:rsid w:val="005E58FC"/>
    <w:rsid w:val="005F1524"/>
    <w:rsid w:val="005F58E1"/>
    <w:rsid w:val="005F6F49"/>
    <w:rsid w:val="00600BDB"/>
    <w:rsid w:val="00605B7C"/>
    <w:rsid w:val="0060608F"/>
    <w:rsid w:val="006319B1"/>
    <w:rsid w:val="00641D33"/>
    <w:rsid w:val="00661CF4"/>
    <w:rsid w:val="006667A6"/>
    <w:rsid w:val="006B17A3"/>
    <w:rsid w:val="006F1902"/>
    <w:rsid w:val="006F7FC0"/>
    <w:rsid w:val="007006BF"/>
    <w:rsid w:val="00701AD9"/>
    <w:rsid w:val="00712B74"/>
    <w:rsid w:val="00715D68"/>
    <w:rsid w:val="00723AB6"/>
    <w:rsid w:val="007316AF"/>
    <w:rsid w:val="00737618"/>
    <w:rsid w:val="00741434"/>
    <w:rsid w:val="00741F58"/>
    <w:rsid w:val="007573BB"/>
    <w:rsid w:val="00757824"/>
    <w:rsid w:val="00762BEB"/>
    <w:rsid w:val="00764253"/>
    <w:rsid w:val="00764A54"/>
    <w:rsid w:val="007A05D5"/>
    <w:rsid w:val="007A6FF3"/>
    <w:rsid w:val="007B1F57"/>
    <w:rsid w:val="007E2483"/>
    <w:rsid w:val="007E5A12"/>
    <w:rsid w:val="007F232C"/>
    <w:rsid w:val="007F4698"/>
    <w:rsid w:val="007F748E"/>
    <w:rsid w:val="008209CF"/>
    <w:rsid w:val="00832105"/>
    <w:rsid w:val="00841314"/>
    <w:rsid w:val="00857E2A"/>
    <w:rsid w:val="00863230"/>
    <w:rsid w:val="008705F6"/>
    <w:rsid w:val="00877512"/>
    <w:rsid w:val="00890677"/>
    <w:rsid w:val="00890B27"/>
    <w:rsid w:val="00892B03"/>
    <w:rsid w:val="00892B71"/>
    <w:rsid w:val="008A22B4"/>
    <w:rsid w:val="008A69DD"/>
    <w:rsid w:val="008A6A08"/>
    <w:rsid w:val="008A6AA8"/>
    <w:rsid w:val="008C5A16"/>
    <w:rsid w:val="008D4EDC"/>
    <w:rsid w:val="008D7C15"/>
    <w:rsid w:val="0090507D"/>
    <w:rsid w:val="00921EE7"/>
    <w:rsid w:val="0093148D"/>
    <w:rsid w:val="00933380"/>
    <w:rsid w:val="00936A9B"/>
    <w:rsid w:val="00974D00"/>
    <w:rsid w:val="00983FF8"/>
    <w:rsid w:val="00992702"/>
    <w:rsid w:val="009A0EC3"/>
    <w:rsid w:val="009A19EE"/>
    <w:rsid w:val="009A46BE"/>
    <w:rsid w:val="009C01D3"/>
    <w:rsid w:val="009C1E44"/>
    <w:rsid w:val="009E4655"/>
    <w:rsid w:val="00A009ED"/>
    <w:rsid w:val="00A07C2E"/>
    <w:rsid w:val="00A24FD9"/>
    <w:rsid w:val="00A2569C"/>
    <w:rsid w:val="00A25919"/>
    <w:rsid w:val="00A34EF0"/>
    <w:rsid w:val="00A55E1C"/>
    <w:rsid w:val="00A61588"/>
    <w:rsid w:val="00A761A5"/>
    <w:rsid w:val="00A94534"/>
    <w:rsid w:val="00AA7396"/>
    <w:rsid w:val="00AD5880"/>
    <w:rsid w:val="00AE0F7D"/>
    <w:rsid w:val="00AE6ED1"/>
    <w:rsid w:val="00AF15C1"/>
    <w:rsid w:val="00AF3CB0"/>
    <w:rsid w:val="00B00641"/>
    <w:rsid w:val="00B01A37"/>
    <w:rsid w:val="00B03B3F"/>
    <w:rsid w:val="00B1196B"/>
    <w:rsid w:val="00B17E76"/>
    <w:rsid w:val="00B23C50"/>
    <w:rsid w:val="00B3403C"/>
    <w:rsid w:val="00B35A45"/>
    <w:rsid w:val="00B53AEF"/>
    <w:rsid w:val="00B55BD3"/>
    <w:rsid w:val="00B60D5F"/>
    <w:rsid w:val="00B647B8"/>
    <w:rsid w:val="00B66866"/>
    <w:rsid w:val="00B67D29"/>
    <w:rsid w:val="00B74ABD"/>
    <w:rsid w:val="00B81386"/>
    <w:rsid w:val="00B813D6"/>
    <w:rsid w:val="00B81B03"/>
    <w:rsid w:val="00B95C05"/>
    <w:rsid w:val="00B9713D"/>
    <w:rsid w:val="00BA2115"/>
    <w:rsid w:val="00BA3A70"/>
    <w:rsid w:val="00BA5849"/>
    <w:rsid w:val="00BA7FE2"/>
    <w:rsid w:val="00BB5BFA"/>
    <w:rsid w:val="00BB70A8"/>
    <w:rsid w:val="00BC0ADA"/>
    <w:rsid w:val="00BF5552"/>
    <w:rsid w:val="00C31BD8"/>
    <w:rsid w:val="00C32D70"/>
    <w:rsid w:val="00C34916"/>
    <w:rsid w:val="00C47ACD"/>
    <w:rsid w:val="00C52AB2"/>
    <w:rsid w:val="00C53F2C"/>
    <w:rsid w:val="00C761A6"/>
    <w:rsid w:val="00C77EE2"/>
    <w:rsid w:val="00CA016F"/>
    <w:rsid w:val="00CB3C67"/>
    <w:rsid w:val="00CB6B91"/>
    <w:rsid w:val="00CC4D12"/>
    <w:rsid w:val="00CC4D87"/>
    <w:rsid w:val="00CC7A3C"/>
    <w:rsid w:val="00CD24A1"/>
    <w:rsid w:val="00CD2C85"/>
    <w:rsid w:val="00CF308F"/>
    <w:rsid w:val="00D20FF7"/>
    <w:rsid w:val="00D34856"/>
    <w:rsid w:val="00D6567A"/>
    <w:rsid w:val="00D74197"/>
    <w:rsid w:val="00D75C07"/>
    <w:rsid w:val="00D7680C"/>
    <w:rsid w:val="00D9090C"/>
    <w:rsid w:val="00D947D6"/>
    <w:rsid w:val="00DA6926"/>
    <w:rsid w:val="00DB4087"/>
    <w:rsid w:val="00E03A01"/>
    <w:rsid w:val="00E208A3"/>
    <w:rsid w:val="00E252E2"/>
    <w:rsid w:val="00E26A46"/>
    <w:rsid w:val="00E33247"/>
    <w:rsid w:val="00E34114"/>
    <w:rsid w:val="00E352EA"/>
    <w:rsid w:val="00E40AEF"/>
    <w:rsid w:val="00E43FE6"/>
    <w:rsid w:val="00E45420"/>
    <w:rsid w:val="00E70C36"/>
    <w:rsid w:val="00E77FBB"/>
    <w:rsid w:val="00E943CB"/>
    <w:rsid w:val="00EA6136"/>
    <w:rsid w:val="00EC2838"/>
    <w:rsid w:val="00F00DA5"/>
    <w:rsid w:val="00F2622B"/>
    <w:rsid w:val="00F3132B"/>
    <w:rsid w:val="00F32D92"/>
    <w:rsid w:val="00F361E9"/>
    <w:rsid w:val="00F45F21"/>
    <w:rsid w:val="00F54E6F"/>
    <w:rsid w:val="00F73D93"/>
    <w:rsid w:val="00F837BF"/>
    <w:rsid w:val="00F8607A"/>
    <w:rsid w:val="00F87188"/>
    <w:rsid w:val="00FA5782"/>
    <w:rsid w:val="00FB0284"/>
    <w:rsid w:val="00FB2D27"/>
    <w:rsid w:val="00FB7AE3"/>
    <w:rsid w:val="00FD0B2B"/>
    <w:rsid w:val="00FD52DE"/>
    <w:rsid w:val="00FE1B66"/>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54EF"/>
  <w15:docId w15:val="{43E1E972-6000-4BAD-9A48-7E91BD2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8E1"/>
    <w:pPr>
      <w:spacing w:after="0" w:line="240" w:lineRule="auto"/>
    </w:pPr>
  </w:style>
  <w:style w:type="table" w:styleId="TableGrid">
    <w:name w:val="Table Grid"/>
    <w:basedOn w:val="TableNormal"/>
    <w:uiPriority w:val="59"/>
    <w:rsid w:val="0085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E2A"/>
    <w:rPr>
      <w:color w:val="0000FF" w:themeColor="hyperlink"/>
      <w:u w:val="single"/>
    </w:rPr>
  </w:style>
  <w:style w:type="paragraph" w:styleId="ListParagraph">
    <w:name w:val="List Paragraph"/>
    <w:basedOn w:val="Normal"/>
    <w:uiPriority w:val="34"/>
    <w:qFormat/>
    <w:rsid w:val="00921EE7"/>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A61588"/>
    <w:rPr>
      <w:color w:val="800080" w:themeColor="followedHyperlink"/>
      <w:u w:val="single"/>
    </w:rPr>
  </w:style>
  <w:style w:type="paragraph" w:styleId="Header">
    <w:name w:val="header"/>
    <w:basedOn w:val="Normal"/>
    <w:link w:val="HeaderChar"/>
    <w:uiPriority w:val="99"/>
    <w:unhideWhenUsed/>
    <w:rsid w:val="00BA2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115"/>
  </w:style>
  <w:style w:type="paragraph" w:styleId="Footer">
    <w:name w:val="footer"/>
    <w:basedOn w:val="Normal"/>
    <w:link w:val="FooterChar"/>
    <w:uiPriority w:val="99"/>
    <w:unhideWhenUsed/>
    <w:rsid w:val="00BA2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115"/>
  </w:style>
  <w:style w:type="paragraph" w:styleId="BalloonText">
    <w:name w:val="Balloon Text"/>
    <w:basedOn w:val="Normal"/>
    <w:link w:val="BalloonTextChar"/>
    <w:uiPriority w:val="99"/>
    <w:semiHidden/>
    <w:unhideWhenUsed/>
    <w:rsid w:val="00E7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BB"/>
    <w:rPr>
      <w:rFonts w:ascii="Tahoma" w:hAnsi="Tahoma" w:cs="Tahoma"/>
      <w:sz w:val="16"/>
      <w:szCs w:val="16"/>
    </w:rPr>
  </w:style>
  <w:style w:type="paragraph" w:customStyle="1" w:styleId="Default">
    <w:name w:val="Default"/>
    <w:rsid w:val="0003709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542">
      <w:bodyDiv w:val="1"/>
      <w:marLeft w:val="0"/>
      <w:marRight w:val="0"/>
      <w:marTop w:val="0"/>
      <w:marBottom w:val="0"/>
      <w:divBdr>
        <w:top w:val="none" w:sz="0" w:space="0" w:color="auto"/>
        <w:left w:val="none" w:sz="0" w:space="0" w:color="auto"/>
        <w:bottom w:val="none" w:sz="0" w:space="0" w:color="auto"/>
        <w:right w:val="none" w:sz="0" w:space="0" w:color="auto"/>
      </w:divBdr>
    </w:div>
    <w:div w:id="219096347">
      <w:bodyDiv w:val="1"/>
      <w:marLeft w:val="0"/>
      <w:marRight w:val="0"/>
      <w:marTop w:val="0"/>
      <w:marBottom w:val="0"/>
      <w:divBdr>
        <w:top w:val="none" w:sz="0" w:space="0" w:color="auto"/>
        <w:left w:val="none" w:sz="0" w:space="0" w:color="auto"/>
        <w:bottom w:val="none" w:sz="0" w:space="0" w:color="auto"/>
        <w:right w:val="none" w:sz="0" w:space="0" w:color="auto"/>
      </w:divBdr>
    </w:div>
    <w:div w:id="357782284">
      <w:bodyDiv w:val="1"/>
      <w:marLeft w:val="0"/>
      <w:marRight w:val="0"/>
      <w:marTop w:val="0"/>
      <w:marBottom w:val="0"/>
      <w:divBdr>
        <w:top w:val="none" w:sz="0" w:space="0" w:color="auto"/>
        <w:left w:val="none" w:sz="0" w:space="0" w:color="auto"/>
        <w:bottom w:val="none" w:sz="0" w:space="0" w:color="auto"/>
        <w:right w:val="none" w:sz="0" w:space="0" w:color="auto"/>
      </w:divBdr>
    </w:div>
    <w:div w:id="636226121">
      <w:bodyDiv w:val="1"/>
      <w:marLeft w:val="0"/>
      <w:marRight w:val="0"/>
      <w:marTop w:val="0"/>
      <w:marBottom w:val="0"/>
      <w:divBdr>
        <w:top w:val="none" w:sz="0" w:space="0" w:color="auto"/>
        <w:left w:val="none" w:sz="0" w:space="0" w:color="auto"/>
        <w:bottom w:val="none" w:sz="0" w:space="0" w:color="auto"/>
        <w:right w:val="none" w:sz="0" w:space="0" w:color="auto"/>
      </w:divBdr>
    </w:div>
    <w:div w:id="818811479">
      <w:bodyDiv w:val="1"/>
      <w:marLeft w:val="0"/>
      <w:marRight w:val="0"/>
      <w:marTop w:val="0"/>
      <w:marBottom w:val="0"/>
      <w:divBdr>
        <w:top w:val="none" w:sz="0" w:space="0" w:color="auto"/>
        <w:left w:val="none" w:sz="0" w:space="0" w:color="auto"/>
        <w:bottom w:val="none" w:sz="0" w:space="0" w:color="auto"/>
        <w:right w:val="none" w:sz="0" w:space="0" w:color="auto"/>
      </w:divBdr>
    </w:div>
    <w:div w:id="1366830087">
      <w:bodyDiv w:val="1"/>
      <w:marLeft w:val="0"/>
      <w:marRight w:val="0"/>
      <w:marTop w:val="0"/>
      <w:marBottom w:val="0"/>
      <w:divBdr>
        <w:top w:val="none" w:sz="0" w:space="0" w:color="auto"/>
        <w:left w:val="none" w:sz="0" w:space="0" w:color="auto"/>
        <w:bottom w:val="none" w:sz="0" w:space="0" w:color="auto"/>
        <w:right w:val="none" w:sz="0" w:space="0" w:color="auto"/>
      </w:divBdr>
    </w:div>
    <w:div w:id="1438057585">
      <w:bodyDiv w:val="1"/>
      <w:marLeft w:val="0"/>
      <w:marRight w:val="0"/>
      <w:marTop w:val="0"/>
      <w:marBottom w:val="0"/>
      <w:divBdr>
        <w:top w:val="none" w:sz="0" w:space="0" w:color="auto"/>
        <w:left w:val="none" w:sz="0" w:space="0" w:color="auto"/>
        <w:bottom w:val="none" w:sz="0" w:space="0" w:color="auto"/>
        <w:right w:val="none" w:sz="0" w:space="0" w:color="auto"/>
      </w:divBdr>
    </w:div>
    <w:div w:id="1464345389">
      <w:bodyDiv w:val="1"/>
      <w:marLeft w:val="0"/>
      <w:marRight w:val="0"/>
      <w:marTop w:val="0"/>
      <w:marBottom w:val="0"/>
      <w:divBdr>
        <w:top w:val="none" w:sz="0" w:space="0" w:color="auto"/>
        <w:left w:val="none" w:sz="0" w:space="0" w:color="auto"/>
        <w:bottom w:val="none" w:sz="0" w:space="0" w:color="auto"/>
        <w:right w:val="none" w:sz="0" w:space="0" w:color="auto"/>
      </w:divBdr>
    </w:div>
    <w:div w:id="1553883974">
      <w:bodyDiv w:val="1"/>
      <w:marLeft w:val="0"/>
      <w:marRight w:val="0"/>
      <w:marTop w:val="0"/>
      <w:marBottom w:val="0"/>
      <w:divBdr>
        <w:top w:val="none" w:sz="0" w:space="0" w:color="auto"/>
        <w:left w:val="none" w:sz="0" w:space="0" w:color="auto"/>
        <w:bottom w:val="none" w:sz="0" w:space="0" w:color="auto"/>
        <w:right w:val="none" w:sz="0" w:space="0" w:color="auto"/>
      </w:divBdr>
    </w:div>
    <w:div w:id="1728139442">
      <w:bodyDiv w:val="1"/>
      <w:marLeft w:val="0"/>
      <w:marRight w:val="0"/>
      <w:marTop w:val="0"/>
      <w:marBottom w:val="0"/>
      <w:divBdr>
        <w:top w:val="none" w:sz="0" w:space="0" w:color="auto"/>
        <w:left w:val="none" w:sz="0" w:space="0" w:color="auto"/>
        <w:bottom w:val="none" w:sz="0" w:space="0" w:color="auto"/>
        <w:right w:val="none" w:sz="0" w:space="0" w:color="auto"/>
      </w:divBdr>
    </w:div>
    <w:div w:id="1728912999">
      <w:bodyDiv w:val="1"/>
      <w:marLeft w:val="0"/>
      <w:marRight w:val="0"/>
      <w:marTop w:val="0"/>
      <w:marBottom w:val="0"/>
      <w:divBdr>
        <w:top w:val="none" w:sz="0" w:space="0" w:color="auto"/>
        <w:left w:val="none" w:sz="0" w:space="0" w:color="auto"/>
        <w:bottom w:val="none" w:sz="0" w:space="0" w:color="auto"/>
        <w:right w:val="none" w:sz="0" w:space="0" w:color="auto"/>
      </w:divBdr>
    </w:div>
    <w:div w:id="18261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p.ac.fj/pacifictafe" TargetMode="External"/><Relationship Id="rId5" Type="http://schemas.openxmlformats.org/officeDocument/2006/relationships/webSettings" Target="webSettings.xml"/><Relationship Id="rId10" Type="http://schemas.openxmlformats.org/officeDocument/2006/relationships/hyperlink" Target="mailto:pacifictafe@usp.ac.fj" TargetMode="External"/><Relationship Id="rId4" Type="http://schemas.openxmlformats.org/officeDocument/2006/relationships/settings" Target="settings.xml"/><Relationship Id="rId9" Type="http://schemas.openxmlformats.org/officeDocument/2006/relationships/hyperlink" Target="http://elearn.usp.ac.f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4529-A911-4999-8CD2-293B996D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devi_re</dc:creator>
  <cp:lastModifiedBy>Praneel Dayal</cp:lastModifiedBy>
  <cp:revision>3</cp:revision>
  <cp:lastPrinted>2019-12-02T20:18:00Z</cp:lastPrinted>
  <dcterms:created xsi:type="dcterms:W3CDTF">2021-01-18T22:42:00Z</dcterms:created>
  <dcterms:modified xsi:type="dcterms:W3CDTF">2021-05-11T00:23:00Z</dcterms:modified>
</cp:coreProperties>
</file>